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7F79D" w14:textId="77777777" w:rsidR="00B6751E" w:rsidRDefault="00B6751E"/>
    <w:p w14:paraId="42D5F9F9" w14:textId="77777777" w:rsidR="0045665A" w:rsidRPr="00D12809" w:rsidRDefault="0045665A" w:rsidP="0045665A">
      <w:pPr>
        <w:overflowPunct w:val="0"/>
        <w:autoSpaceDE w:val="0"/>
        <w:autoSpaceDN w:val="0"/>
        <w:adjustRightInd w:val="0"/>
        <w:jc w:val="center"/>
        <w:rPr>
          <w:rFonts w:ascii="Trebuchet MS" w:hAnsi="Trebuchet MS" w:cs="Arial"/>
          <w:b/>
          <w:lang w:eastAsia="es-AR"/>
        </w:rPr>
      </w:pPr>
      <w:r w:rsidRPr="00D12809">
        <w:rPr>
          <w:rFonts w:ascii="Trebuchet MS" w:hAnsi="Trebuchet MS" w:cs="Arial"/>
          <w:b/>
          <w:lang w:eastAsia="es-AR"/>
        </w:rPr>
        <w:t>SUELDOS DOCENTES</w:t>
      </w:r>
    </w:p>
    <w:p w14:paraId="25E3A48B" w14:textId="77777777" w:rsidR="0045665A" w:rsidRPr="00D12809" w:rsidRDefault="0045665A" w:rsidP="0045665A">
      <w:pPr>
        <w:overflowPunct w:val="0"/>
        <w:autoSpaceDE w:val="0"/>
        <w:autoSpaceDN w:val="0"/>
        <w:adjustRightInd w:val="0"/>
        <w:jc w:val="center"/>
        <w:rPr>
          <w:rFonts w:ascii="Trebuchet MS" w:hAnsi="Trebuchet MS" w:cs="Arial"/>
          <w:b/>
          <w:lang w:eastAsia="es-AR"/>
        </w:rPr>
      </w:pPr>
    </w:p>
    <w:p w14:paraId="292C2F3B" w14:textId="77777777" w:rsidR="0045665A" w:rsidRPr="00D12809" w:rsidRDefault="0045665A" w:rsidP="0045665A">
      <w:pPr>
        <w:jc w:val="center"/>
        <w:rPr>
          <w:rFonts w:ascii="Trebuchet MS" w:hAnsi="Trebuchet MS" w:cs="Arial"/>
          <w:b/>
        </w:rPr>
      </w:pPr>
      <w:r w:rsidRPr="00D12809">
        <w:rPr>
          <w:rFonts w:ascii="Trebuchet MS" w:hAnsi="Trebuchet MS" w:cs="Arial"/>
          <w:b/>
        </w:rPr>
        <w:t xml:space="preserve">GOBIERNO DE LA CIUDAD DE </w:t>
      </w:r>
      <w:proofErr w:type="gramStart"/>
      <w:r w:rsidRPr="00D12809">
        <w:rPr>
          <w:rFonts w:ascii="Trebuchet MS" w:hAnsi="Trebuchet MS" w:cs="Arial"/>
          <w:b/>
        </w:rPr>
        <w:t>BUENOS AIRES</w:t>
      </w:r>
      <w:proofErr w:type="gramEnd"/>
    </w:p>
    <w:p w14:paraId="1F1CAFE5" w14:textId="77777777" w:rsidR="0045665A" w:rsidRPr="00D12809" w:rsidRDefault="0045665A" w:rsidP="0045665A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lang w:val="es-ES_tradnl"/>
        </w:rPr>
      </w:pPr>
    </w:p>
    <w:p w14:paraId="2A94A648" w14:textId="77777777" w:rsidR="0045665A" w:rsidRPr="00D12809" w:rsidRDefault="0045665A" w:rsidP="0045665A">
      <w:pPr>
        <w:overflowPunct w:val="0"/>
        <w:autoSpaceDE w:val="0"/>
        <w:autoSpaceDN w:val="0"/>
        <w:adjustRightInd w:val="0"/>
        <w:jc w:val="center"/>
        <w:rPr>
          <w:rFonts w:ascii="Trebuchet MS" w:hAnsi="Trebuchet MS"/>
          <w:b/>
          <w:lang w:val="es-ES_tradnl"/>
        </w:rPr>
      </w:pPr>
      <w:r w:rsidRPr="00D12809">
        <w:rPr>
          <w:rFonts w:ascii="Trebuchet MS" w:hAnsi="Trebuchet MS"/>
          <w:b/>
          <w:lang w:val="es-ES_tradnl"/>
        </w:rPr>
        <w:t>DECRETO Nº  618 / 2007</w:t>
      </w:r>
    </w:p>
    <w:p w14:paraId="23BBD394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77B089D0" w14:textId="77777777" w:rsidR="0045665A" w:rsidRPr="00D12809" w:rsidRDefault="0045665A" w:rsidP="0045665A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color w:val="000000"/>
          <w:lang w:val="es-MX" w:eastAsia="es-MX"/>
        </w:rPr>
      </w:pPr>
      <w:r w:rsidRPr="00D12809">
        <w:rPr>
          <w:rFonts w:ascii="Trebuchet MS" w:hAnsi="Trebuchet MS" w:cs="Arial"/>
          <w:b/>
          <w:color w:val="000000"/>
          <w:lang w:val="es-MX" w:eastAsia="es-AR"/>
        </w:rPr>
        <w:t xml:space="preserve">MODIFICADO POR EL </w:t>
      </w:r>
      <w:r w:rsidRPr="00D12809">
        <w:rPr>
          <w:rFonts w:ascii="Trebuchet MS" w:hAnsi="Trebuchet MS" w:cs="Arial"/>
          <w:b/>
          <w:bCs/>
          <w:color w:val="000000"/>
          <w:lang w:val="es-MX" w:eastAsia="es-MX"/>
        </w:rPr>
        <w:t>DECRETO N° 243 / 2008</w:t>
      </w:r>
    </w:p>
    <w:p w14:paraId="4AA3E17B" w14:textId="77777777" w:rsidR="0045665A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val="es-MX" w:eastAsia="es-AR"/>
        </w:rPr>
      </w:pPr>
    </w:p>
    <w:p w14:paraId="0C0DFB56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val="es-MX" w:eastAsia="es-AR"/>
        </w:rPr>
        <w:t xml:space="preserve"> </w:t>
      </w:r>
    </w:p>
    <w:p w14:paraId="0F6FC8F1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/>
          <w:lang w:eastAsia="es-AR"/>
        </w:rPr>
        <w:t>VISTO</w:t>
      </w:r>
      <w:r w:rsidRPr="00D12809">
        <w:rPr>
          <w:rFonts w:ascii="Trebuchet MS" w:hAnsi="Trebuchet MS" w:cs="Arial"/>
          <w:lang w:eastAsia="es-AR"/>
        </w:rPr>
        <w:t xml:space="preserve">, </w:t>
      </w:r>
    </w:p>
    <w:p w14:paraId="4E7C8FF4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1BAB6BA5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proofErr w:type="gramStart"/>
      <w:r w:rsidRPr="00D12809">
        <w:rPr>
          <w:rFonts w:ascii="Trebuchet MS" w:hAnsi="Trebuchet MS" w:cs="Arial"/>
          <w:lang w:eastAsia="es-AR"/>
        </w:rPr>
        <w:t>la</w:t>
      </w:r>
      <w:proofErr w:type="gramEnd"/>
      <w:r w:rsidRPr="00D12809">
        <w:rPr>
          <w:rFonts w:ascii="Trebuchet MS" w:hAnsi="Trebuchet MS" w:cs="Arial"/>
          <w:lang w:eastAsia="es-AR"/>
        </w:rPr>
        <w:t xml:space="preserve"> Ordenanza N° 40.593 (B.M. N° 17.590) y sus modificatorias, los Decretos Nros. 1.203-MCBA/93 (B.M. N° 19.619), 1.567/04 (B.O.C.B.A. N ° 2016), 1.958/04 (B.O.C.B.A. N° 2059), 483/05 (B.O.C.B.A. N° 2175), 682/06 (B.O.C.B.A. N° 2464), 2.141/06 (B.O.C.B.A. N° 2589), 112/07 (B.O.C.B.A. N° 2615), el acta acuerdo de fecha 2 de marzo del corriente año, el Expediente N° 17.269/07, </w:t>
      </w:r>
      <w:proofErr w:type="gramStart"/>
      <w:r w:rsidRPr="00D12809">
        <w:rPr>
          <w:rFonts w:ascii="Trebuchet MS" w:hAnsi="Trebuchet MS" w:cs="Arial"/>
          <w:lang w:eastAsia="es-AR"/>
        </w:rPr>
        <w:t>y ;</w:t>
      </w:r>
      <w:proofErr w:type="gramEnd"/>
    </w:p>
    <w:p w14:paraId="1A4D50EA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2325EEC9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01465D54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lang w:eastAsia="es-AR"/>
        </w:rPr>
      </w:pPr>
      <w:r w:rsidRPr="00D12809">
        <w:rPr>
          <w:rFonts w:ascii="Trebuchet MS" w:hAnsi="Trebuchet MS" w:cs="Arial"/>
          <w:b/>
          <w:lang w:eastAsia="es-AR"/>
        </w:rPr>
        <w:t xml:space="preserve">CONSIDERANDO:  </w:t>
      </w:r>
    </w:p>
    <w:p w14:paraId="03771DDC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eastAsia="es-AR"/>
        </w:rPr>
        <w:br/>
        <w:t>Que es responsabilidad del Gobierno asegurar y financiar la educación pública en los términos establecidos en la Constitución de la Ciudad Autónoma de Buenos Aires, siendo una de sus funciones primordiales la de procurar la capacitación y la calidad educativa, las que constituyen herramientas fundamentales en la construcción de una sociedad más justa e integrada;</w:t>
      </w:r>
    </w:p>
    <w:p w14:paraId="0BC13933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eastAsia="es-AR"/>
        </w:rPr>
        <w:br/>
        <w:t xml:space="preserve">Que es </w:t>
      </w:r>
      <w:proofErr w:type="gramStart"/>
      <w:r w:rsidRPr="00D12809">
        <w:rPr>
          <w:rFonts w:ascii="Trebuchet MS" w:hAnsi="Trebuchet MS" w:cs="Arial"/>
          <w:lang w:eastAsia="es-AR"/>
        </w:rPr>
        <w:t>un</w:t>
      </w:r>
      <w:proofErr w:type="gramEnd"/>
      <w:r w:rsidRPr="00D12809">
        <w:rPr>
          <w:rFonts w:ascii="Trebuchet MS" w:hAnsi="Trebuchet MS" w:cs="Arial"/>
          <w:lang w:eastAsia="es-AR"/>
        </w:rPr>
        <w:t xml:space="preserve"> objetivo de esta Administración propender a la mejora progresiva en las condiciones laborales de los docentes;</w:t>
      </w:r>
    </w:p>
    <w:p w14:paraId="0EBC01F3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5DA3861F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eastAsia="es-AR"/>
        </w:rPr>
        <w:t>Que resulta necesario garantizar que todos los docentes dependientes del Gobierno de la Ciudad Autónoma de Buenos Aires perciban un ingreso mínimo en retribución a su trabajo que permita la satisfacción de las necesidades vitales y de capacitación y perfeccionamiento desde el inicio de la carrera docente;</w:t>
      </w:r>
    </w:p>
    <w:p w14:paraId="655D4428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460CB056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eastAsia="es-AR"/>
        </w:rPr>
        <w:lastRenderedPageBreak/>
        <w:t xml:space="preserve">Que es pertinente incrementar el salario docente en todos los niveles y modalidades, con criterios de racionalidad y justicia, en el </w:t>
      </w:r>
      <w:proofErr w:type="gramStart"/>
      <w:r w:rsidRPr="00D12809">
        <w:rPr>
          <w:rFonts w:ascii="Trebuchet MS" w:hAnsi="Trebuchet MS" w:cs="Arial"/>
          <w:lang w:eastAsia="es-AR"/>
        </w:rPr>
        <w:t>marco</w:t>
      </w:r>
      <w:proofErr w:type="gramEnd"/>
      <w:r w:rsidRPr="00D12809">
        <w:rPr>
          <w:rFonts w:ascii="Trebuchet MS" w:hAnsi="Trebuchet MS" w:cs="Arial"/>
          <w:lang w:eastAsia="es-AR"/>
        </w:rPr>
        <w:t xml:space="preserve"> del ordenamiento de la política salarial que sigue esta Administración y de las factibilidades presupuestarias;</w:t>
      </w:r>
    </w:p>
    <w:p w14:paraId="6FD5AC1B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eastAsia="es-AR"/>
        </w:rPr>
        <w:tab/>
      </w:r>
    </w:p>
    <w:p w14:paraId="733871FB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lang w:eastAsia="es-AR"/>
        </w:rPr>
        <w:t>Que es menester jerarquizar el sueldo básico docente aumentando el valor que expresa en pesos y centavos los índices de asignación de cargo que conforman la remuneración básica de los docentes dependientes del Gobierno de la Ciudad Autónoma de Buenos Aires;</w:t>
      </w:r>
    </w:p>
    <w:p w14:paraId="577992DB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6E03D251" w14:textId="77777777" w:rsidR="0045665A" w:rsidRPr="00D12809" w:rsidRDefault="0045665A" w:rsidP="0045665A">
      <w:pPr>
        <w:autoSpaceDE w:val="0"/>
        <w:autoSpaceDN w:val="0"/>
        <w:adjustRightInd w:val="0"/>
        <w:rPr>
          <w:rFonts w:ascii="Trebuchet MS" w:hAnsi="Trebuchet MS" w:cs="Arial"/>
          <w:bCs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 xml:space="preserve">Por ello y en </w:t>
      </w:r>
      <w:proofErr w:type="gramStart"/>
      <w:r w:rsidRPr="00D12809">
        <w:rPr>
          <w:rFonts w:ascii="Trebuchet MS" w:hAnsi="Trebuchet MS" w:cs="Arial"/>
          <w:bCs/>
          <w:lang w:eastAsia="es-AR"/>
        </w:rPr>
        <w:t>uso</w:t>
      </w:r>
      <w:proofErr w:type="gramEnd"/>
      <w:r w:rsidRPr="00D12809">
        <w:rPr>
          <w:rFonts w:ascii="Trebuchet MS" w:hAnsi="Trebuchet MS" w:cs="Arial"/>
          <w:bCs/>
          <w:lang w:eastAsia="es-AR"/>
        </w:rPr>
        <w:t xml:space="preserve"> de las facultades legales que le son propias (artículos 102 y 104 de la Constitución de la Ciudad Autónoma de Buenos Aires),</w:t>
      </w:r>
    </w:p>
    <w:p w14:paraId="23A869CF" w14:textId="77777777" w:rsidR="0045665A" w:rsidRDefault="0045665A" w:rsidP="0045665A">
      <w:pPr>
        <w:autoSpaceDE w:val="0"/>
        <w:autoSpaceDN w:val="0"/>
        <w:adjustRightInd w:val="0"/>
        <w:rPr>
          <w:rFonts w:ascii="Trebuchet MS" w:hAnsi="Trebuchet MS" w:cs="Arial"/>
          <w:b/>
          <w:bCs/>
          <w:lang w:eastAsia="es-AR"/>
        </w:rPr>
      </w:pPr>
    </w:p>
    <w:p w14:paraId="0EEFF1C2" w14:textId="77777777" w:rsidR="0045665A" w:rsidRPr="00D12809" w:rsidRDefault="0045665A" w:rsidP="0045665A">
      <w:pPr>
        <w:autoSpaceDE w:val="0"/>
        <w:autoSpaceDN w:val="0"/>
        <w:adjustRightInd w:val="0"/>
        <w:rPr>
          <w:rFonts w:ascii="Trebuchet MS" w:hAnsi="Trebuchet MS" w:cs="Arial"/>
          <w:b/>
          <w:bCs/>
          <w:lang w:eastAsia="es-AR"/>
        </w:rPr>
      </w:pPr>
    </w:p>
    <w:p w14:paraId="261A64DD" w14:textId="77777777" w:rsidR="0045665A" w:rsidRPr="00D12809" w:rsidRDefault="0045665A" w:rsidP="0045665A">
      <w:pPr>
        <w:autoSpaceDE w:val="0"/>
        <w:autoSpaceDN w:val="0"/>
        <w:adjustRightInd w:val="0"/>
        <w:jc w:val="center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/>
          <w:bCs/>
          <w:lang w:eastAsia="es-AR"/>
        </w:rPr>
        <w:t xml:space="preserve">EL JEFE DE GOBIERNO </w:t>
      </w:r>
      <w:r w:rsidRPr="00D12809">
        <w:rPr>
          <w:rFonts w:ascii="Trebuchet MS" w:hAnsi="Trebuchet MS" w:cs="Arial"/>
          <w:b/>
          <w:bCs/>
          <w:lang w:eastAsia="es-AR"/>
        </w:rPr>
        <w:br/>
        <w:t>DE LA CIUDAD AUTÓNOMA DE BUENOS AIRES</w:t>
      </w:r>
      <w:r w:rsidRPr="00D12809">
        <w:rPr>
          <w:rFonts w:ascii="Trebuchet MS" w:hAnsi="Trebuchet MS" w:cs="Arial"/>
          <w:b/>
          <w:bCs/>
          <w:lang w:eastAsia="es-AR"/>
        </w:rPr>
        <w:br/>
        <w:t>DECRETA</w:t>
      </w:r>
      <w:r w:rsidRPr="00D12809">
        <w:rPr>
          <w:rFonts w:ascii="Trebuchet MS" w:hAnsi="Trebuchet MS" w:cs="Arial"/>
          <w:lang w:eastAsia="es-AR"/>
        </w:rPr>
        <w:t>:</w:t>
      </w:r>
    </w:p>
    <w:p w14:paraId="5D9C2D67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/>
          <w:bCs/>
          <w:lang w:eastAsia="es-AR"/>
        </w:rPr>
      </w:pPr>
    </w:p>
    <w:p w14:paraId="4B86AE52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>Artículo 1°</w:t>
      </w:r>
      <w:r w:rsidRPr="00D12809">
        <w:rPr>
          <w:rFonts w:ascii="Trebuchet MS" w:hAnsi="Trebuchet MS" w:cs="Arial"/>
          <w:lang w:eastAsia="es-AR"/>
        </w:rPr>
        <w:t xml:space="preserve"> </w:t>
      </w:r>
      <w:r w:rsidRPr="00D12809">
        <w:rPr>
          <w:rFonts w:ascii="Trebuchet MS" w:hAnsi="Trebuchet MS" w:cs="Arial"/>
          <w:bCs/>
          <w:lang w:eastAsia="es-AR"/>
        </w:rPr>
        <w:t>-</w:t>
      </w:r>
      <w:r w:rsidRPr="00D12809">
        <w:rPr>
          <w:rFonts w:ascii="Trebuchet MS" w:hAnsi="Trebuchet MS" w:cs="Arial"/>
          <w:lang w:eastAsia="es-AR"/>
        </w:rPr>
        <w:t xml:space="preserve"> Fíjase, a partir del 1° de marzo de 2007, para todo el personal docente dependiente del Gobierno de la Ciudad Autónoma de Buenos Aires el valor monetario del índice de asignación de cargo uno (1) igual a cinco mil ochocientos veinticuatro diezmilésimos de pesos ($ 0,5824) a efectos de determinar el sueldo básico docente.</w:t>
      </w:r>
    </w:p>
    <w:p w14:paraId="08DA5AD5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3BDB4517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>Artículo 2°</w:t>
      </w:r>
      <w:r w:rsidRPr="00D12809">
        <w:rPr>
          <w:rFonts w:ascii="Trebuchet MS" w:hAnsi="Trebuchet MS" w:cs="Arial"/>
          <w:lang w:eastAsia="es-AR"/>
        </w:rPr>
        <w:t xml:space="preserve"> </w:t>
      </w:r>
      <w:r w:rsidRPr="00D12809">
        <w:rPr>
          <w:rFonts w:ascii="Trebuchet MS" w:hAnsi="Trebuchet MS" w:cs="Arial"/>
          <w:bCs/>
          <w:lang w:eastAsia="es-AR"/>
        </w:rPr>
        <w:t>-</w:t>
      </w:r>
      <w:r w:rsidRPr="00D12809">
        <w:rPr>
          <w:rFonts w:ascii="Trebuchet MS" w:hAnsi="Trebuchet MS" w:cs="Arial"/>
          <w:lang w:eastAsia="es-AR"/>
        </w:rPr>
        <w:t xml:space="preserve"> Sustitúyese, el Anexo I del Decreto N° 483/05, por el Anexo I, conforme se detalla y que a todos sus efectos forma parte integrante de la presente </w:t>
      </w:r>
      <w:proofErr w:type="gramStart"/>
      <w:r w:rsidRPr="00D12809">
        <w:rPr>
          <w:rFonts w:ascii="Trebuchet MS" w:hAnsi="Trebuchet MS" w:cs="Arial"/>
          <w:lang w:eastAsia="es-AR"/>
        </w:rPr>
        <w:t>norma</w:t>
      </w:r>
      <w:proofErr w:type="gramEnd"/>
      <w:r w:rsidRPr="00D12809">
        <w:rPr>
          <w:rFonts w:ascii="Trebuchet MS" w:hAnsi="Trebuchet MS" w:cs="Arial"/>
          <w:lang w:eastAsia="es-AR"/>
        </w:rPr>
        <w:t>.</w:t>
      </w:r>
    </w:p>
    <w:p w14:paraId="65F66788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38EEC6FD" w14:textId="77777777" w:rsidR="0045665A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3B54B80B" w14:textId="77777777" w:rsidR="0045665A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3C25598F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 xml:space="preserve">Artículo 3° - </w:t>
      </w:r>
      <w:r w:rsidRPr="00D12809">
        <w:rPr>
          <w:rFonts w:ascii="Trebuchet MS" w:hAnsi="Trebuchet MS" w:cs="Arial"/>
          <w:lang w:eastAsia="es-AR"/>
        </w:rPr>
        <w:t>Garantízase desde el 1° de marzo de 2007, a todo el personal docente dependiente del Gobierno de la Ciudad Autónoma de Buenos Aires, por la prestación acumulativa de cargos y/u horas cátedra, desempeñadas por cada docente, un Ingreso Mínimo Total Neto Mensual no inferior a pesos mil cuarenta</w:t>
      </w:r>
    </w:p>
    <w:p w14:paraId="7FE99B70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3FFD0562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</w:p>
    <w:p w14:paraId="68C45771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proofErr w:type="gramStart"/>
      <w:r w:rsidRPr="00D12809">
        <w:rPr>
          <w:rFonts w:ascii="Trebuchet MS" w:hAnsi="Trebuchet MS" w:cs="Arial"/>
          <w:lang w:eastAsia="es-AR"/>
        </w:rPr>
        <w:t>($ 1.040).</w:t>
      </w:r>
      <w:proofErr w:type="gramEnd"/>
      <w:r w:rsidRPr="00D12809">
        <w:rPr>
          <w:rFonts w:ascii="Trebuchet MS" w:hAnsi="Trebuchet MS" w:cs="Arial"/>
          <w:lang w:eastAsia="es-AR"/>
        </w:rPr>
        <w:t xml:space="preserve"> El ingreso mínimo es garantizado en forma proporcional para las prestaciones inferiores a quince (15) horas cátedra, en pesos sesenta y nueve con treinta y tres centavos ($ 69,33) por mes por cada hora cátedra. A los fines de la determinación del Ingreso Mínimo Total Mensual se descontarán los aportes obligatorios a la Seguridad Social regulados por las leyes vigentes en la materia.</w:t>
      </w:r>
    </w:p>
    <w:p w14:paraId="4F5B77E5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031370F9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>Artículo 4° -</w:t>
      </w:r>
      <w:r w:rsidRPr="00D12809">
        <w:rPr>
          <w:rFonts w:ascii="Trebuchet MS" w:hAnsi="Trebuchet MS" w:cs="Arial"/>
          <w:lang w:eastAsia="es-AR"/>
        </w:rPr>
        <w:t xml:space="preserve"> A los efectos de asegurar el Ingreso Mínimo Total Neto Mensual dispuesto en el artículo 3° del presente, otórgase desde el 1° de marzo de 2007 al aludido personal, </w:t>
      </w:r>
      <w:proofErr w:type="gramStart"/>
      <w:r w:rsidRPr="00D12809">
        <w:rPr>
          <w:rFonts w:ascii="Trebuchet MS" w:hAnsi="Trebuchet MS" w:cs="Arial"/>
          <w:lang w:eastAsia="es-AR"/>
        </w:rPr>
        <w:t>un</w:t>
      </w:r>
      <w:proofErr w:type="gramEnd"/>
      <w:r w:rsidRPr="00D12809">
        <w:rPr>
          <w:rFonts w:ascii="Trebuchet MS" w:hAnsi="Trebuchet MS" w:cs="Arial"/>
          <w:lang w:eastAsia="es-AR"/>
        </w:rPr>
        <w:t xml:space="preserve"> adicional remunerativo no bonificable que garantice el monto mínimo allí determinado. No se computarán para el cálculo del mismo las Asignaciones Familiares, el Material Didáctico, los Módulos Institucionales y el Sueldo Anual Complementario. La asignación correspondiente al Fondo Nacional de Incentivo Docente establecido por Ley N° 25.053 será computada para el cálculo del Ingreso Mínimo Total Neto Mensual.</w:t>
      </w:r>
    </w:p>
    <w:p w14:paraId="1BE1BFB3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3E83F532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>Artículo 5°</w:t>
      </w:r>
      <w:r w:rsidRPr="00D12809">
        <w:rPr>
          <w:rFonts w:ascii="Trebuchet MS" w:hAnsi="Trebuchet MS" w:cs="Arial"/>
          <w:lang w:eastAsia="es-AR"/>
        </w:rPr>
        <w:t xml:space="preserve"> </w:t>
      </w:r>
      <w:r w:rsidRPr="00D12809">
        <w:rPr>
          <w:rFonts w:ascii="Trebuchet MS" w:hAnsi="Trebuchet MS" w:cs="Arial"/>
          <w:bCs/>
          <w:lang w:eastAsia="es-AR"/>
        </w:rPr>
        <w:t xml:space="preserve">- </w:t>
      </w:r>
      <w:r w:rsidRPr="00D12809">
        <w:rPr>
          <w:rFonts w:ascii="Trebuchet MS" w:hAnsi="Trebuchet MS" w:cs="Arial"/>
          <w:lang w:eastAsia="es-AR"/>
        </w:rPr>
        <w:t xml:space="preserve">En el caso de los docentes contemplados en el artículo 3° que aún no perciban el mencionado fondo se otorgará un adicional no remunerativo de carácter transitorio, consistente en una asignación que garantice el monto mínimo determinado en el artículo 3° del presente decreto y que, como máximo, resulte equivalente a la determinada para el Fondo Nacional de Incentivo Docente. </w:t>
      </w:r>
      <w:proofErr w:type="gramStart"/>
      <w:r w:rsidRPr="00D12809">
        <w:rPr>
          <w:rFonts w:ascii="Trebuchet MS" w:hAnsi="Trebuchet MS" w:cs="Arial"/>
          <w:lang w:eastAsia="es-AR"/>
        </w:rPr>
        <w:t>Dicha asignación será liquidada según los mismos criterios que surgen del Anexo I de la Resolución N° 1.024-SED-SHyF/99 para la aplicación del Fondo Nacional de Incentivo Docente y será computada para el cálculo del Ingreso Mínimo Total Neto Mensual.</w:t>
      </w:r>
      <w:proofErr w:type="gramEnd"/>
    </w:p>
    <w:p w14:paraId="67624E5C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41651F66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proofErr w:type="gramStart"/>
      <w:r w:rsidRPr="00D12809">
        <w:rPr>
          <w:rFonts w:ascii="Trebuchet MS" w:hAnsi="Trebuchet MS" w:cs="Arial"/>
          <w:bCs/>
          <w:lang w:eastAsia="es-AR"/>
        </w:rPr>
        <w:t>Artículo 6° -</w:t>
      </w:r>
      <w:r w:rsidRPr="00D12809">
        <w:rPr>
          <w:rFonts w:ascii="Trebuchet MS" w:hAnsi="Trebuchet MS" w:cs="Arial"/>
          <w:lang w:eastAsia="es-AR"/>
        </w:rPr>
        <w:t xml:space="preserve"> Reemplázase, a partir del 1° de marzo de 2007, el Anexo IV del Decreto N° 112/07 conforme se detalla en el Anexo II, el que a todos sus efectos forma parte integrante del presente decreto.</w:t>
      </w:r>
      <w:proofErr w:type="gramEnd"/>
    </w:p>
    <w:p w14:paraId="5F726F2F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442043D4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proofErr w:type="gramStart"/>
      <w:r w:rsidRPr="00D12809">
        <w:rPr>
          <w:rFonts w:ascii="Trebuchet MS" w:hAnsi="Trebuchet MS" w:cs="Arial"/>
          <w:bCs/>
          <w:lang w:eastAsia="es-AR"/>
        </w:rPr>
        <w:t>Artículo 7° -</w:t>
      </w:r>
      <w:r w:rsidRPr="00D12809">
        <w:rPr>
          <w:rFonts w:ascii="Trebuchet MS" w:hAnsi="Trebuchet MS" w:cs="Arial"/>
          <w:lang w:eastAsia="es-AR"/>
        </w:rPr>
        <w:t xml:space="preserve"> Reemplázase, a partir del 1° de marzo de 2007, el Anexo V del Decreto N° 112/07 conforme se detalla en el Anexo III, el que a todos sus efectos forma parte integrante el presente decreto.</w:t>
      </w:r>
      <w:proofErr w:type="gramEnd"/>
    </w:p>
    <w:p w14:paraId="24D6E91E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63B9FA37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>Artículo 8° -</w:t>
      </w:r>
      <w:r w:rsidRPr="00D12809">
        <w:rPr>
          <w:rFonts w:ascii="Trebuchet MS" w:hAnsi="Trebuchet MS" w:cs="Arial"/>
          <w:lang w:eastAsia="es-AR"/>
        </w:rPr>
        <w:t xml:space="preserve"> Exclúyese las disposiciones de la presente </w:t>
      </w:r>
      <w:proofErr w:type="gramStart"/>
      <w:r w:rsidRPr="00D12809">
        <w:rPr>
          <w:rFonts w:ascii="Trebuchet MS" w:hAnsi="Trebuchet MS" w:cs="Arial"/>
          <w:lang w:eastAsia="es-AR"/>
        </w:rPr>
        <w:t>norma</w:t>
      </w:r>
      <w:proofErr w:type="gramEnd"/>
      <w:r w:rsidRPr="00D12809">
        <w:rPr>
          <w:rFonts w:ascii="Trebuchet MS" w:hAnsi="Trebuchet MS" w:cs="Arial"/>
          <w:lang w:eastAsia="es-AR"/>
        </w:rPr>
        <w:t xml:space="preserve"> de los alcances establecidos en el artículo 8° del Decreto N° 1.203-MCBA/93, el artículo 12 del Decreto N° 1.567/04 y el artículo 6° del Decreto N° 1.958/04.</w:t>
      </w:r>
    </w:p>
    <w:p w14:paraId="70C0F368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3546DE68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proofErr w:type="gramStart"/>
      <w:r w:rsidRPr="00D12809">
        <w:rPr>
          <w:rFonts w:ascii="Trebuchet MS" w:hAnsi="Trebuchet MS" w:cs="Arial"/>
          <w:bCs/>
          <w:lang w:eastAsia="es-AR"/>
        </w:rPr>
        <w:t>Artículo 9° -</w:t>
      </w:r>
      <w:r w:rsidRPr="00D12809">
        <w:rPr>
          <w:rFonts w:ascii="Trebuchet MS" w:hAnsi="Trebuchet MS" w:cs="Arial"/>
          <w:lang w:eastAsia="es-AR"/>
        </w:rPr>
        <w:t xml:space="preserve"> Modifícanse los Decretos Nros.</w:t>
      </w:r>
      <w:proofErr w:type="gramEnd"/>
      <w:r w:rsidRPr="00D12809">
        <w:rPr>
          <w:rFonts w:ascii="Trebuchet MS" w:hAnsi="Trebuchet MS" w:cs="Arial"/>
          <w:lang w:eastAsia="es-AR"/>
        </w:rPr>
        <w:t xml:space="preserve"> 682/06 y 2.141/06 conforme lo dispuesto en la presente </w:t>
      </w:r>
      <w:proofErr w:type="gramStart"/>
      <w:r w:rsidRPr="00D12809">
        <w:rPr>
          <w:rFonts w:ascii="Trebuchet MS" w:hAnsi="Trebuchet MS" w:cs="Arial"/>
          <w:lang w:eastAsia="es-AR"/>
        </w:rPr>
        <w:t>norma</w:t>
      </w:r>
      <w:proofErr w:type="gramEnd"/>
      <w:r w:rsidRPr="00D12809">
        <w:rPr>
          <w:rFonts w:ascii="Trebuchet MS" w:hAnsi="Trebuchet MS" w:cs="Arial"/>
          <w:lang w:eastAsia="es-AR"/>
        </w:rPr>
        <w:t>.</w:t>
      </w:r>
    </w:p>
    <w:p w14:paraId="7ACF1EE8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76E1B665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lang w:eastAsia="es-AR"/>
        </w:rPr>
      </w:pPr>
      <w:r w:rsidRPr="00D12809">
        <w:rPr>
          <w:rFonts w:ascii="Trebuchet MS" w:hAnsi="Trebuchet MS" w:cs="Arial"/>
          <w:bCs/>
          <w:lang w:eastAsia="es-AR"/>
        </w:rPr>
        <w:t>Artículo 10 -</w:t>
      </w:r>
      <w:r w:rsidRPr="00D12809">
        <w:rPr>
          <w:rFonts w:ascii="Trebuchet MS" w:hAnsi="Trebuchet MS" w:cs="Arial"/>
          <w:lang w:eastAsia="es-AR"/>
        </w:rPr>
        <w:t xml:space="preserve"> El presente decreto es refrendado por la señora Ministra de Educación y el señor Ministro de Hacienda.</w:t>
      </w:r>
    </w:p>
    <w:p w14:paraId="4C1F344E" w14:textId="77777777" w:rsidR="0045665A" w:rsidRPr="00D12809" w:rsidRDefault="0045665A" w:rsidP="0045665A">
      <w:pPr>
        <w:autoSpaceDE w:val="0"/>
        <w:autoSpaceDN w:val="0"/>
        <w:adjustRightInd w:val="0"/>
        <w:jc w:val="both"/>
        <w:rPr>
          <w:rFonts w:ascii="Trebuchet MS" w:hAnsi="Trebuchet MS" w:cs="Arial"/>
          <w:bCs/>
          <w:lang w:eastAsia="es-AR"/>
        </w:rPr>
      </w:pPr>
    </w:p>
    <w:p w14:paraId="642678AA" w14:textId="77777777" w:rsidR="0045665A" w:rsidRPr="00D12809" w:rsidRDefault="0045665A" w:rsidP="0045665A">
      <w:pPr>
        <w:overflowPunct w:val="0"/>
        <w:autoSpaceDE w:val="0"/>
        <w:autoSpaceDN w:val="0"/>
        <w:adjustRightInd w:val="0"/>
        <w:jc w:val="both"/>
        <w:rPr>
          <w:rFonts w:ascii="Trebuchet MS" w:hAnsi="Trebuchet MS"/>
          <w:lang w:val="es-ES_tradnl"/>
        </w:rPr>
      </w:pPr>
      <w:r w:rsidRPr="00D12809">
        <w:rPr>
          <w:rFonts w:ascii="Trebuchet MS" w:hAnsi="Trebuchet MS" w:cs="Arial"/>
          <w:bCs/>
          <w:lang w:val="es-ES_tradnl" w:eastAsia="es-AR"/>
        </w:rPr>
        <w:t>Artículo 11 -</w:t>
      </w:r>
      <w:r w:rsidRPr="00D12809">
        <w:rPr>
          <w:rFonts w:ascii="Trebuchet MS" w:hAnsi="Trebuchet MS" w:cs="Arial"/>
          <w:lang w:val="es-ES_tradnl" w:eastAsia="es-AR"/>
        </w:rPr>
        <w:t xml:space="preserve"> Dése al Registro, publíquese en el Boletín Oficial de la Ciudad de Buenos Aires, y para su conocimiento y demás efectos, remítase a los Ministerios de Educación, de Hacienda, de Cultura, de Salud, a la Secretaría General y a la Dirección General de Recursos Humanos. Cumplido, archívese.</w:t>
      </w:r>
      <w:r w:rsidRPr="00D12809">
        <w:rPr>
          <w:rFonts w:ascii="Trebuchet MS" w:hAnsi="Trebuchet MS" w:cs="Helvetica"/>
          <w:lang w:val="es-ES_tradnl" w:eastAsia="es-AR"/>
        </w:rPr>
        <w:t xml:space="preserve"> </w:t>
      </w:r>
      <w:r w:rsidRPr="00D12809">
        <w:rPr>
          <w:rFonts w:ascii="Trebuchet MS" w:hAnsi="Trebuchet MS" w:cs="Helvetica"/>
          <w:bCs/>
          <w:lang w:val="es-ES_tradnl" w:eastAsia="es-AR"/>
        </w:rPr>
        <w:t>TELERMAN - Clement - Beros</w:t>
      </w:r>
    </w:p>
    <w:p w14:paraId="32EFF3EA" w14:textId="77777777" w:rsidR="0045665A" w:rsidRPr="00D12809" w:rsidRDefault="0045665A" w:rsidP="0045665A">
      <w:pPr>
        <w:jc w:val="center"/>
        <w:rPr>
          <w:rFonts w:ascii="Trebuchet MS" w:hAnsi="Trebuchet MS"/>
          <w:b/>
          <w:lang w:val="es-ES_tradnl"/>
        </w:rPr>
      </w:pPr>
    </w:p>
    <w:p w14:paraId="3A6D2FE6" w14:textId="77777777" w:rsidR="0045665A" w:rsidRPr="00D12809" w:rsidRDefault="0045665A" w:rsidP="0045665A">
      <w:pPr>
        <w:jc w:val="center"/>
        <w:rPr>
          <w:rFonts w:ascii="Trebuchet MS" w:hAnsi="Trebuchet MS"/>
          <w:b/>
          <w:lang w:val="es-ES_tradnl"/>
        </w:rPr>
      </w:pPr>
      <w:r w:rsidRPr="00D12809">
        <w:rPr>
          <w:rFonts w:ascii="Trebuchet MS" w:hAnsi="Trebuchet MS"/>
          <w:b/>
          <w:lang w:val="es-ES_tradnl"/>
        </w:rPr>
        <w:t>ANEXO I</w:t>
      </w:r>
    </w:p>
    <w:p w14:paraId="09D366DF" w14:textId="77777777" w:rsidR="0045665A" w:rsidRPr="00D12809" w:rsidRDefault="0045665A" w:rsidP="0045665A">
      <w:pPr>
        <w:jc w:val="center"/>
        <w:rPr>
          <w:rFonts w:ascii="Trebuchet MS" w:hAnsi="Trebuchet MS"/>
          <w:b/>
          <w:lang w:val="es-ES_tradnl"/>
        </w:rPr>
      </w:pPr>
    </w:p>
    <w:p w14:paraId="0E1E2419" w14:textId="77777777" w:rsidR="0045665A" w:rsidRPr="00D12809" w:rsidRDefault="0045665A" w:rsidP="0045665A">
      <w:pPr>
        <w:jc w:val="center"/>
        <w:rPr>
          <w:rFonts w:ascii="Trebuchet MS" w:hAnsi="Trebuchet MS"/>
          <w:b/>
          <w:lang w:val="es-ES_tradnl"/>
        </w:rPr>
      </w:pPr>
      <w:r w:rsidRPr="00D12809">
        <w:rPr>
          <w:rFonts w:ascii="Trebuchet MS" w:hAnsi="Trebuchet MS"/>
          <w:b/>
          <w:lang w:val="es-ES_tradnl"/>
        </w:rPr>
        <w:t>A partir del 1º de marzo de 2007</w:t>
      </w:r>
    </w:p>
    <w:p w14:paraId="355B9791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</w:p>
    <w:p w14:paraId="15D27044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Suma Remunerativa y Bonificable según modalidad del cargo.</w:t>
      </w:r>
    </w:p>
    <w:p w14:paraId="4529AB55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Importes Mensuales</w:t>
      </w:r>
    </w:p>
    <w:p w14:paraId="6A9EB26B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400"/>
      </w:tblGrid>
      <w:tr w:rsidR="0045665A" w:rsidRPr="00D12809" w14:paraId="3EC8BF46" w14:textId="77777777" w:rsidTr="00B606B8">
        <w:tc>
          <w:tcPr>
            <w:tcW w:w="5245" w:type="dxa"/>
            <w:vAlign w:val="center"/>
            <w:hideMark/>
          </w:tcPr>
          <w:p w14:paraId="652FAB34" w14:textId="77777777" w:rsidR="0045665A" w:rsidRPr="00D12809" w:rsidRDefault="0045665A" w:rsidP="00B606B8">
            <w:pPr>
              <w:keepNext/>
              <w:spacing w:after="120"/>
              <w:jc w:val="both"/>
              <w:outlineLvl w:val="0"/>
              <w:rPr>
                <w:rFonts w:ascii="Trebuchet MS" w:hAnsi="Trebuchet MS" w:cs="Arial"/>
                <w:b/>
                <w:caps/>
                <w:lang w:val="es-AR"/>
              </w:rPr>
            </w:pPr>
            <w:r w:rsidRPr="00D12809">
              <w:rPr>
                <w:rFonts w:ascii="Trebuchet MS" w:hAnsi="Trebuchet MS" w:cs="Arial"/>
                <w:b/>
                <w:caps/>
                <w:lang w:val="es-AR"/>
              </w:rPr>
              <w:t>Modalidad del Cargo</w:t>
            </w:r>
          </w:p>
        </w:tc>
        <w:tc>
          <w:tcPr>
            <w:tcW w:w="3400" w:type="dxa"/>
            <w:vAlign w:val="center"/>
            <w:hideMark/>
          </w:tcPr>
          <w:p w14:paraId="70C7DF27" w14:textId="77777777" w:rsidR="0045665A" w:rsidRPr="00D12809" w:rsidRDefault="0045665A" w:rsidP="00B606B8">
            <w:pPr>
              <w:keepNext/>
              <w:spacing w:after="120"/>
              <w:jc w:val="center"/>
              <w:outlineLvl w:val="0"/>
              <w:rPr>
                <w:rFonts w:ascii="Trebuchet MS" w:hAnsi="Trebuchet MS" w:cs="Arial"/>
                <w:b/>
                <w:caps/>
                <w:lang w:val="es-AR"/>
              </w:rPr>
            </w:pPr>
            <w:r w:rsidRPr="00D12809">
              <w:rPr>
                <w:rFonts w:ascii="Trebuchet MS" w:hAnsi="Trebuchet MS" w:cs="Arial"/>
                <w:b/>
                <w:caps/>
                <w:lang w:val="es-AR"/>
              </w:rPr>
              <w:t>Importe</w:t>
            </w:r>
          </w:p>
        </w:tc>
      </w:tr>
      <w:tr w:rsidR="0045665A" w:rsidRPr="00D12809" w14:paraId="69FF406A" w14:textId="77777777" w:rsidTr="00B606B8">
        <w:tc>
          <w:tcPr>
            <w:tcW w:w="5245" w:type="dxa"/>
            <w:vAlign w:val="center"/>
            <w:hideMark/>
          </w:tcPr>
          <w:p w14:paraId="365EADAF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Jornada Simple</w:t>
            </w:r>
          </w:p>
        </w:tc>
        <w:tc>
          <w:tcPr>
            <w:tcW w:w="3400" w:type="dxa"/>
            <w:vAlign w:val="center"/>
            <w:hideMark/>
          </w:tcPr>
          <w:p w14:paraId="6939D076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$220,00</w:t>
            </w:r>
          </w:p>
        </w:tc>
      </w:tr>
      <w:tr w:rsidR="0045665A" w:rsidRPr="00D12809" w14:paraId="60A32A9A" w14:textId="77777777" w:rsidTr="00B606B8">
        <w:tc>
          <w:tcPr>
            <w:tcW w:w="5245" w:type="dxa"/>
            <w:vAlign w:val="center"/>
            <w:hideMark/>
          </w:tcPr>
          <w:p w14:paraId="005724E3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Jornada Completa</w:t>
            </w:r>
          </w:p>
        </w:tc>
        <w:tc>
          <w:tcPr>
            <w:tcW w:w="3400" w:type="dxa"/>
            <w:vAlign w:val="center"/>
            <w:hideMark/>
          </w:tcPr>
          <w:p w14:paraId="2A2ECE0A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$440,00</w:t>
            </w:r>
          </w:p>
        </w:tc>
      </w:tr>
      <w:tr w:rsidR="0045665A" w:rsidRPr="00D12809" w14:paraId="619DBECA" w14:textId="77777777" w:rsidTr="00B606B8">
        <w:tc>
          <w:tcPr>
            <w:tcW w:w="5245" w:type="dxa"/>
            <w:vAlign w:val="center"/>
          </w:tcPr>
          <w:p w14:paraId="6EA63D6B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</w:p>
        </w:tc>
        <w:tc>
          <w:tcPr>
            <w:tcW w:w="3400" w:type="dxa"/>
            <w:vAlign w:val="center"/>
          </w:tcPr>
          <w:p w14:paraId="7A8F2C27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</w:p>
        </w:tc>
      </w:tr>
      <w:tr w:rsidR="0045665A" w:rsidRPr="00D12809" w14:paraId="42E5C919" w14:textId="77777777" w:rsidTr="00B606B8">
        <w:tc>
          <w:tcPr>
            <w:tcW w:w="5245" w:type="dxa"/>
            <w:vAlign w:val="center"/>
            <w:hideMark/>
          </w:tcPr>
          <w:p w14:paraId="7BAD3780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Hora Cátedra</w:t>
            </w:r>
          </w:p>
        </w:tc>
        <w:tc>
          <w:tcPr>
            <w:tcW w:w="3400" w:type="dxa"/>
            <w:vAlign w:val="center"/>
            <w:hideMark/>
          </w:tcPr>
          <w:p w14:paraId="3F372DD3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$12,9412</w:t>
            </w:r>
          </w:p>
        </w:tc>
      </w:tr>
    </w:tbl>
    <w:p w14:paraId="0460AEEF" w14:textId="77777777" w:rsidR="0045665A" w:rsidRPr="00D12809" w:rsidRDefault="0045665A" w:rsidP="0045665A">
      <w:pPr>
        <w:tabs>
          <w:tab w:val="left" w:leader="dot" w:pos="4820"/>
        </w:tabs>
        <w:overflowPunct w:val="0"/>
        <w:autoSpaceDE w:val="0"/>
        <w:autoSpaceDN w:val="0"/>
        <w:adjustRightInd w:val="0"/>
        <w:spacing w:before="100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Los cargos definidos como tiempo parcial, módulos de horas cátedra o con una carga horaria reducida, se liquidan por hora cátedra a razón de $12,9412 la hora.</w:t>
      </w:r>
    </w:p>
    <w:p w14:paraId="0C23BB0D" w14:textId="77777777" w:rsidR="0045665A" w:rsidRPr="00D12809" w:rsidRDefault="0045665A" w:rsidP="0045665A">
      <w:pPr>
        <w:tabs>
          <w:tab w:val="left" w:leader="dot" w:pos="4820"/>
        </w:tabs>
        <w:overflowPunct w:val="0"/>
        <w:autoSpaceDE w:val="0"/>
        <w:autoSpaceDN w:val="0"/>
        <w:adjustRightInd w:val="0"/>
        <w:spacing w:before="100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El importe se liquida mensualmente hasta un máximo de $440,00 por persona.</w:t>
      </w:r>
    </w:p>
    <w:p w14:paraId="51CBAC5A" w14:textId="77777777" w:rsidR="0045665A" w:rsidRPr="00D12809" w:rsidRDefault="0045665A" w:rsidP="0045665A">
      <w:pPr>
        <w:tabs>
          <w:tab w:val="left" w:leader="dot" w:pos="4820"/>
        </w:tabs>
        <w:spacing w:before="100"/>
        <w:jc w:val="both"/>
        <w:rPr>
          <w:rFonts w:ascii="Trebuchet MS" w:hAnsi="Trebuchet MS"/>
          <w:lang w:val="es-ES_tradnl"/>
        </w:rPr>
      </w:pPr>
    </w:p>
    <w:p w14:paraId="0D9FCF3E" w14:textId="77777777" w:rsidR="0045665A" w:rsidRPr="00D12809" w:rsidRDefault="0045665A" w:rsidP="0045665A">
      <w:pPr>
        <w:tabs>
          <w:tab w:val="left" w:leader="dot" w:pos="4820"/>
        </w:tabs>
        <w:spacing w:before="100"/>
        <w:jc w:val="both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La liquidación se efectúa en forma proporcional al tiempo efectivamente trabajado durante el mes.</w:t>
      </w:r>
    </w:p>
    <w:p w14:paraId="46DE2922" w14:textId="77777777" w:rsidR="0045665A" w:rsidRPr="00D12809" w:rsidRDefault="0045665A" w:rsidP="0045665A">
      <w:pPr>
        <w:tabs>
          <w:tab w:val="left" w:leader="dot" w:pos="4820"/>
        </w:tabs>
        <w:spacing w:before="100"/>
        <w:jc w:val="both"/>
        <w:rPr>
          <w:rFonts w:ascii="Trebuchet MS" w:hAnsi="Trebuchet MS"/>
          <w:lang w:val="es-ES_tradnl"/>
        </w:rPr>
      </w:pPr>
    </w:p>
    <w:p w14:paraId="53DCCC40" w14:textId="77777777" w:rsidR="0045665A" w:rsidRDefault="0045665A" w:rsidP="0045665A">
      <w:pPr>
        <w:jc w:val="center"/>
        <w:rPr>
          <w:rFonts w:ascii="Trebuchet MS" w:hAnsi="Trebuchet MS"/>
          <w:b/>
          <w:lang w:val="es-ES_tradnl"/>
        </w:rPr>
      </w:pPr>
      <w:r w:rsidRPr="00D12809">
        <w:rPr>
          <w:rFonts w:ascii="Trebuchet MS" w:hAnsi="Trebuchet MS"/>
          <w:b/>
          <w:lang w:val="es-ES_tradnl"/>
        </w:rPr>
        <w:t>A partir del 1º de julio de 2007</w:t>
      </w:r>
    </w:p>
    <w:p w14:paraId="5894975A" w14:textId="77777777" w:rsidR="0045665A" w:rsidRPr="00D12809" w:rsidRDefault="0045665A" w:rsidP="0045665A">
      <w:pPr>
        <w:jc w:val="center"/>
        <w:rPr>
          <w:rFonts w:ascii="Trebuchet MS" w:hAnsi="Trebuchet MS"/>
          <w:lang w:val="es-ES_tradnl"/>
        </w:rPr>
      </w:pPr>
    </w:p>
    <w:p w14:paraId="577F4B4F" w14:textId="77777777" w:rsidR="0045665A" w:rsidRPr="00D12809" w:rsidRDefault="0045665A" w:rsidP="0045665A">
      <w:pPr>
        <w:jc w:val="center"/>
        <w:rPr>
          <w:rFonts w:ascii="Trebuchet MS" w:hAnsi="Trebuchet MS" w:cs="Arial"/>
        </w:rPr>
      </w:pPr>
    </w:p>
    <w:p w14:paraId="4978F9F4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Suma Remunerativa y Bonificable según modalidad del cargo.</w:t>
      </w:r>
    </w:p>
    <w:p w14:paraId="4119E0D4" w14:textId="77777777" w:rsidR="0045665A" w:rsidRDefault="0045665A" w:rsidP="0045665A">
      <w:pPr>
        <w:jc w:val="both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Importes Mensuales</w:t>
      </w:r>
    </w:p>
    <w:p w14:paraId="18D30108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</w:p>
    <w:p w14:paraId="71DB457A" w14:textId="77777777" w:rsidR="0045665A" w:rsidRPr="00D12809" w:rsidRDefault="0045665A" w:rsidP="0045665A">
      <w:pPr>
        <w:jc w:val="both"/>
        <w:rPr>
          <w:rFonts w:ascii="Trebuchet MS" w:hAnsi="Trebuchet MS"/>
          <w:lang w:val="es-ES_tradn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3400"/>
      </w:tblGrid>
      <w:tr w:rsidR="0045665A" w:rsidRPr="00D12809" w14:paraId="5A3EA1EF" w14:textId="77777777" w:rsidTr="00B606B8">
        <w:tc>
          <w:tcPr>
            <w:tcW w:w="5245" w:type="dxa"/>
            <w:vAlign w:val="center"/>
            <w:hideMark/>
          </w:tcPr>
          <w:p w14:paraId="040554A8" w14:textId="77777777" w:rsidR="0045665A" w:rsidRPr="00D12809" w:rsidRDefault="0045665A" w:rsidP="00B606B8">
            <w:pPr>
              <w:keepNext/>
              <w:spacing w:after="120"/>
              <w:jc w:val="both"/>
              <w:outlineLvl w:val="0"/>
              <w:rPr>
                <w:rFonts w:ascii="Trebuchet MS" w:hAnsi="Trebuchet MS" w:cs="Arial"/>
                <w:b/>
                <w:caps/>
                <w:lang w:val="es-AR"/>
              </w:rPr>
            </w:pPr>
            <w:r w:rsidRPr="00D12809">
              <w:rPr>
                <w:rFonts w:ascii="Trebuchet MS" w:hAnsi="Trebuchet MS" w:cs="Arial"/>
                <w:b/>
                <w:caps/>
                <w:lang w:val="es-AR"/>
              </w:rPr>
              <w:t>Modalidad del Cargo</w:t>
            </w:r>
          </w:p>
        </w:tc>
        <w:tc>
          <w:tcPr>
            <w:tcW w:w="3400" w:type="dxa"/>
            <w:vAlign w:val="center"/>
            <w:hideMark/>
          </w:tcPr>
          <w:p w14:paraId="5B8D63E8" w14:textId="77777777" w:rsidR="0045665A" w:rsidRPr="00D12809" w:rsidRDefault="0045665A" w:rsidP="00B606B8">
            <w:pPr>
              <w:keepNext/>
              <w:spacing w:after="120"/>
              <w:jc w:val="center"/>
              <w:outlineLvl w:val="0"/>
              <w:rPr>
                <w:rFonts w:ascii="Trebuchet MS" w:hAnsi="Trebuchet MS" w:cs="Arial"/>
                <w:b/>
                <w:caps/>
                <w:lang w:val="es-AR"/>
              </w:rPr>
            </w:pPr>
            <w:r w:rsidRPr="00D12809">
              <w:rPr>
                <w:rFonts w:ascii="Trebuchet MS" w:hAnsi="Trebuchet MS" w:cs="Arial"/>
                <w:b/>
                <w:caps/>
                <w:lang w:val="es-AR"/>
              </w:rPr>
              <w:t>Importe</w:t>
            </w:r>
          </w:p>
        </w:tc>
      </w:tr>
      <w:tr w:rsidR="0045665A" w:rsidRPr="00D12809" w14:paraId="0E6CEFE2" w14:textId="77777777" w:rsidTr="00B606B8">
        <w:tc>
          <w:tcPr>
            <w:tcW w:w="5245" w:type="dxa"/>
            <w:vAlign w:val="center"/>
            <w:hideMark/>
          </w:tcPr>
          <w:p w14:paraId="2FD721D2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Jornada Simple</w:t>
            </w:r>
          </w:p>
        </w:tc>
        <w:tc>
          <w:tcPr>
            <w:tcW w:w="3400" w:type="dxa"/>
            <w:vAlign w:val="center"/>
            <w:hideMark/>
          </w:tcPr>
          <w:p w14:paraId="6B394084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$270,00</w:t>
            </w:r>
          </w:p>
        </w:tc>
      </w:tr>
      <w:tr w:rsidR="0045665A" w:rsidRPr="00D12809" w14:paraId="27568C94" w14:textId="77777777" w:rsidTr="00B606B8">
        <w:tc>
          <w:tcPr>
            <w:tcW w:w="5245" w:type="dxa"/>
            <w:vAlign w:val="center"/>
            <w:hideMark/>
          </w:tcPr>
          <w:p w14:paraId="043B622F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Jornada Completa</w:t>
            </w:r>
          </w:p>
        </w:tc>
        <w:tc>
          <w:tcPr>
            <w:tcW w:w="3400" w:type="dxa"/>
            <w:vAlign w:val="center"/>
            <w:hideMark/>
          </w:tcPr>
          <w:p w14:paraId="75325793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$540,00</w:t>
            </w:r>
          </w:p>
        </w:tc>
      </w:tr>
      <w:tr w:rsidR="0045665A" w:rsidRPr="00D12809" w14:paraId="384ACEE8" w14:textId="77777777" w:rsidTr="00B606B8">
        <w:tc>
          <w:tcPr>
            <w:tcW w:w="5245" w:type="dxa"/>
            <w:vAlign w:val="center"/>
            <w:hideMark/>
          </w:tcPr>
          <w:p w14:paraId="3E5BCC14" w14:textId="77777777" w:rsidR="0045665A" w:rsidRPr="00D12809" w:rsidRDefault="0045665A" w:rsidP="00B606B8">
            <w:pPr>
              <w:spacing w:after="120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Hora Cátedra</w:t>
            </w:r>
          </w:p>
        </w:tc>
        <w:tc>
          <w:tcPr>
            <w:tcW w:w="3400" w:type="dxa"/>
            <w:vAlign w:val="center"/>
            <w:hideMark/>
          </w:tcPr>
          <w:p w14:paraId="62B0EB96" w14:textId="77777777" w:rsidR="0045665A" w:rsidRPr="00D12809" w:rsidRDefault="0045665A" w:rsidP="00B606B8">
            <w:pPr>
              <w:spacing w:after="120"/>
              <w:jc w:val="center"/>
              <w:rPr>
                <w:rFonts w:ascii="Trebuchet MS" w:hAnsi="Trebuchet MS"/>
                <w:lang w:val="es-ES_tradnl"/>
              </w:rPr>
            </w:pPr>
            <w:r w:rsidRPr="00D12809">
              <w:rPr>
                <w:rFonts w:ascii="Trebuchet MS" w:hAnsi="Trebuchet MS"/>
                <w:lang w:val="es-ES_tradnl"/>
              </w:rPr>
              <w:t>$15,8824</w:t>
            </w:r>
          </w:p>
        </w:tc>
      </w:tr>
    </w:tbl>
    <w:p w14:paraId="28F065F6" w14:textId="77777777" w:rsidR="0045665A" w:rsidRPr="00D12809" w:rsidRDefault="0045665A" w:rsidP="0045665A">
      <w:pPr>
        <w:tabs>
          <w:tab w:val="left" w:leader="dot" w:pos="4820"/>
        </w:tabs>
        <w:overflowPunct w:val="0"/>
        <w:autoSpaceDE w:val="0"/>
        <w:autoSpaceDN w:val="0"/>
        <w:adjustRightInd w:val="0"/>
        <w:spacing w:before="100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t>Los cargos definidos como tiempo parcial, módulos de horas cátedra o con una carga horaria reducida, se liquidan por hora cátedra a razón de $15,8824 la hora.</w:t>
      </w:r>
    </w:p>
    <w:p w14:paraId="29845361" w14:textId="77777777" w:rsidR="0045665A" w:rsidRPr="00D12809" w:rsidRDefault="0045665A" w:rsidP="0045665A">
      <w:pPr>
        <w:tabs>
          <w:tab w:val="left" w:leader="dot" w:pos="4820"/>
        </w:tabs>
        <w:overflowPunct w:val="0"/>
        <w:autoSpaceDE w:val="0"/>
        <w:autoSpaceDN w:val="0"/>
        <w:adjustRightInd w:val="0"/>
        <w:spacing w:before="100"/>
        <w:rPr>
          <w:rFonts w:ascii="Trebuchet MS" w:hAnsi="Trebuchet MS"/>
          <w:lang w:val="es-ES_tradnl"/>
        </w:rPr>
      </w:pPr>
      <w:r w:rsidRPr="00D12809">
        <w:rPr>
          <w:rFonts w:ascii="Trebuchet MS" w:hAnsi="Trebuchet MS"/>
          <w:lang w:val="es-ES_tradnl"/>
        </w:rPr>
        <w:lastRenderedPageBreak/>
        <w:t>El importe se liquida mensualmente hasta un máximo de $540,00 por persona.</w:t>
      </w:r>
    </w:p>
    <w:p w14:paraId="547F6EE1" w14:textId="77777777" w:rsidR="0045665A" w:rsidRPr="00D12809" w:rsidRDefault="0045665A" w:rsidP="0045665A">
      <w:pPr>
        <w:tabs>
          <w:tab w:val="left" w:leader="dot" w:pos="4820"/>
        </w:tabs>
        <w:spacing w:before="100"/>
        <w:jc w:val="both"/>
        <w:rPr>
          <w:rFonts w:ascii="Trebuchet MS" w:hAnsi="Trebuchet MS"/>
        </w:rPr>
      </w:pPr>
      <w:r w:rsidRPr="00D12809">
        <w:rPr>
          <w:rFonts w:ascii="Trebuchet MS" w:hAnsi="Trebuchet MS"/>
          <w:lang w:val="es-ES_tradnl"/>
        </w:rPr>
        <w:t>La liquidación se efectúa en forma proporcional al tiempo efectivamente trabajado durante el mes.</w:t>
      </w:r>
      <w:r w:rsidRPr="00D12809">
        <w:rPr>
          <w:rFonts w:ascii="Trebuchet MS" w:hAnsi="Trebuchet MS"/>
        </w:rPr>
        <w:t xml:space="preserve"> </w:t>
      </w:r>
    </w:p>
    <w:p w14:paraId="6CDB0543" w14:textId="77777777" w:rsidR="00592F1B" w:rsidRDefault="00592F1B">
      <w:bookmarkStart w:id="0" w:name="_GoBack"/>
      <w:bookmarkEnd w:id="0"/>
    </w:p>
    <w:sectPr w:rsidR="00592F1B" w:rsidSect="00B64518">
      <w:headerReference w:type="default" r:id="rId7"/>
      <w:footerReference w:type="default" r:id="rId8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5665A"/>
    <w:rsid w:val="00484AE6"/>
    <w:rsid w:val="00592F1B"/>
    <w:rsid w:val="007906D4"/>
    <w:rsid w:val="00B21F6A"/>
    <w:rsid w:val="00B64518"/>
    <w:rsid w:val="00B6751E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1047</Words>
  <Characters>5760</Characters>
  <Application>Microsoft Macintosh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2021-04-24T13:42:00Z</dcterms:created>
  <dcterms:modified xsi:type="dcterms:W3CDTF">2021-04-24T13:42:00Z</dcterms:modified>
</cp:coreProperties>
</file>