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58C5" w14:textId="77777777" w:rsidR="007D5D98" w:rsidRDefault="00E92FFD" w:rsidP="007D5D98">
      <w:pPr>
        <w:spacing w:line="240" w:lineRule="exact"/>
        <w:jc w:val="center"/>
        <w:textAlignment w:val="baseline"/>
      </w:pPr>
      <w:r>
        <w:t xml:space="preserve"> </w:t>
      </w:r>
    </w:p>
    <w:p w14:paraId="2A2C38B8" w14:textId="6DDB6783" w:rsidR="007D5D98" w:rsidRPr="00767355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bCs/>
          <w:lang w:val="es-AR" w:eastAsia="es-AR"/>
        </w:rPr>
      </w:pPr>
      <w:bookmarkStart w:id="0" w:name="_GoBack"/>
      <w:bookmarkEnd w:id="0"/>
      <w:r w:rsidRPr="00767355">
        <w:rPr>
          <w:rFonts w:ascii="Trebuchet MS" w:hAnsi="Trebuchet MS" w:cs="Arial"/>
          <w:b/>
        </w:rPr>
        <w:t>OBLIGATORIEDAD DEL PAGO ELECTRÓNICO DE OBLIGACIONES</w:t>
      </w:r>
    </w:p>
    <w:p w14:paraId="7D88A283" w14:textId="77777777" w:rsidR="007D5D98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bCs/>
          <w:color w:val="000000"/>
          <w:lang w:val="es-AR" w:eastAsia="es-AR"/>
        </w:rPr>
      </w:pPr>
    </w:p>
    <w:p w14:paraId="7DCF7A37" w14:textId="77777777" w:rsidR="007D5D98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bCs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bCs/>
          <w:color w:val="000000"/>
          <w:lang w:val="es-AR" w:eastAsia="es-AR"/>
        </w:rPr>
        <w:t>ADMINISTRACIÓN FEDERAL DE INGRESOS PÚBLICOS</w:t>
      </w:r>
    </w:p>
    <w:p w14:paraId="1B908F49" w14:textId="77777777" w:rsidR="007D5D98" w:rsidRPr="00D03F27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bCs/>
          <w:color w:val="000000"/>
          <w:lang w:val="es-AR" w:eastAsia="es-AR"/>
        </w:rPr>
      </w:pPr>
    </w:p>
    <w:p w14:paraId="13D5AE60" w14:textId="77777777" w:rsidR="007D5D98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bCs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bCs/>
          <w:color w:val="000000"/>
          <w:lang w:val="es-AR" w:eastAsia="es-AR"/>
        </w:rPr>
        <w:t>RESOLUCIÓN GENERAL 4084-E</w:t>
      </w:r>
    </w:p>
    <w:p w14:paraId="078F5DF6" w14:textId="77777777" w:rsidR="007D5D98" w:rsidRPr="00D03F27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bCs/>
          <w:color w:val="000000"/>
          <w:lang w:val="es-AR" w:eastAsia="es-AR"/>
        </w:rPr>
      </w:pPr>
    </w:p>
    <w:p w14:paraId="22146BFA" w14:textId="77777777" w:rsidR="007D5D98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bCs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bCs/>
          <w:color w:val="000000"/>
          <w:lang w:val="es-AR" w:eastAsia="es-AR"/>
        </w:rPr>
        <w:t xml:space="preserve">Procedimiento. Pago electrónico de las obligaciones impositivas y </w:t>
      </w:r>
    </w:p>
    <w:p w14:paraId="047F25D9" w14:textId="77777777" w:rsidR="007D5D98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bCs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bCs/>
          <w:color w:val="000000"/>
          <w:lang w:val="es-AR" w:eastAsia="es-AR"/>
        </w:rPr>
        <w:t>de los recursos de la seguridad social.</w:t>
      </w:r>
    </w:p>
    <w:p w14:paraId="1CDBA903" w14:textId="77777777" w:rsidR="007D5D98" w:rsidRPr="00D03F27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bCs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bCs/>
          <w:color w:val="000000"/>
          <w:lang w:val="es-AR" w:eastAsia="es-AR"/>
        </w:rPr>
        <w:t xml:space="preserve"> Su implementación.</w:t>
      </w:r>
    </w:p>
    <w:p w14:paraId="31EF8DE4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4E232757" w14:textId="77777777" w:rsidR="007D5D98" w:rsidRPr="00D03F27" w:rsidRDefault="007D5D98" w:rsidP="007D5D98">
      <w:pPr>
        <w:spacing w:line="240" w:lineRule="exact"/>
        <w:jc w:val="right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Ciudad de Buenos Aires, 29/06/2017</w:t>
      </w:r>
    </w:p>
    <w:p w14:paraId="35A90155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2FA4F3B8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color w:val="000000"/>
          <w:lang w:val="es-AR" w:eastAsia="es-AR"/>
        </w:rPr>
        <w:t>VISTO</w:t>
      </w:r>
      <w:r w:rsidRPr="00D03F27">
        <w:rPr>
          <w:rFonts w:ascii="Trebuchet MS" w:hAnsi="Trebuchet MS" w:cs="Arial"/>
          <w:color w:val="000000"/>
          <w:lang w:val="es-AR" w:eastAsia="es-AR"/>
        </w:rPr>
        <w:t xml:space="preserve"> el objetivo de este Organismo de promover y facilitar a los contribuyentes y responsables el cumplimiento de sus obligaciones, y</w:t>
      </w:r>
    </w:p>
    <w:p w14:paraId="6626AB83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748EC057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b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color w:val="000000"/>
          <w:lang w:val="es-AR" w:eastAsia="es-AR"/>
        </w:rPr>
        <w:t>CONSIDERANDO:</w:t>
      </w:r>
    </w:p>
    <w:p w14:paraId="2375BE32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770E4FEA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Que mediante la Ley N° 11.683, texto ordenado en 1998 y sus modificaciones, se dispone la modalidad de pago de los tributos, intereses y multas y se faculta a esta Administración Federal para establecer otras formas y plazos para el ingreso de los mismos.</w:t>
      </w:r>
    </w:p>
    <w:p w14:paraId="7B1CB658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178C555E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Que en concordancia con las medidas adoptadas por el Banco Central de la República Argentina para impulsar la bancarización de las transacciones y de ampliar la utilización de las plataformas digitales, razones de administración tributaria aconsejan disponer el uso de distintos canales electrónicos y eliminar el uso de dinero en efectivo para efectuar el pago de las obligaciones impositivas y de los recursos de la seguridad social.</w:t>
      </w:r>
    </w:p>
    <w:p w14:paraId="7DB3B350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71F2FECB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Que la adopción de dicho procedimiento conllevará a agilizar los trámites de pago, contar con una amplia disponibilidad horaria, evitar el traslado del dinero en efectivo y reducir el tiempo que demandan las gestiones personales en las entidades recaudadoras.</w:t>
      </w:r>
    </w:p>
    <w:p w14:paraId="12259FF8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4876A810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Que han tomado la intervención que les compete la Dirección de Legislación, las Subdirecciones Generales de Asuntos Jurídicos, de Recaudación, de Servicios al Contribuyente, de Sistemas y Telecomunicaciones, Técnico Legal Impositiva y Técnico Legal de los Recursos de la Seguridad Social, y las Direcciones Generales Impositiva y de los Recursos de la Seguridad Social.</w:t>
      </w:r>
    </w:p>
    <w:p w14:paraId="0B1A45C8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09F3C694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lastRenderedPageBreak/>
        <w:t>Que la presente se dicta en ejercicio de las facultades conferidas por el Artículo 24 de la Ley N° 11.683, texto ordenado en 1998 y sus modificaciones y el Artículo 7° del Decreto N° 618 del 10 de julio de 1997, sus modificatorios y sus complementarios.</w:t>
      </w:r>
    </w:p>
    <w:p w14:paraId="6815C2BA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25DC44CB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Por ello,</w:t>
      </w:r>
    </w:p>
    <w:p w14:paraId="0E47F6D1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79D465F2" w14:textId="77777777" w:rsidR="007D5D98" w:rsidRPr="00D03F27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color w:val="000000"/>
          <w:lang w:val="es-AR" w:eastAsia="es-AR"/>
        </w:rPr>
        <w:t>EL ADMINISTRADOR FEDERAL DE LA ADMINISTRACIÓN FEDERAL DE INGRESOS PÚBLICOS</w:t>
      </w:r>
    </w:p>
    <w:p w14:paraId="6457F3B1" w14:textId="77777777" w:rsidR="007D5D98" w:rsidRPr="00D03F27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color w:val="000000"/>
          <w:lang w:val="es-AR" w:eastAsia="es-AR"/>
        </w:rPr>
        <w:t>RESUELVE:</w:t>
      </w:r>
    </w:p>
    <w:p w14:paraId="1D2CB408" w14:textId="77777777" w:rsidR="007D5D98" w:rsidRPr="00D03F27" w:rsidRDefault="007D5D98" w:rsidP="007D5D98">
      <w:pPr>
        <w:spacing w:line="240" w:lineRule="exact"/>
        <w:jc w:val="center"/>
        <w:textAlignment w:val="baseline"/>
        <w:rPr>
          <w:rFonts w:ascii="Trebuchet MS" w:hAnsi="Trebuchet MS" w:cs="Arial"/>
          <w:b/>
          <w:color w:val="000000"/>
          <w:lang w:val="es-AR" w:eastAsia="es-AR"/>
        </w:rPr>
      </w:pPr>
    </w:p>
    <w:p w14:paraId="57034B81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color w:val="000000"/>
          <w:lang w:val="es-AR" w:eastAsia="es-AR"/>
        </w:rPr>
        <w:t>ARTÍCULO 1°.-</w:t>
      </w:r>
      <w:r w:rsidRPr="00D03F27">
        <w:rPr>
          <w:rFonts w:ascii="Trebuchet MS" w:hAnsi="Trebuchet MS" w:cs="Arial"/>
          <w:color w:val="000000"/>
          <w:lang w:val="es-AR" w:eastAsia="es-AR"/>
        </w:rPr>
        <w:t xml:space="preserve"> Los contribuyentes y/o responsables deberán efectuar el pago de sus obligaciones impositivas y de los recursos de la seguridad social, de acuerdo con el procedimiento de transferencia electrónica de fondos, dispuesto por la Resolución General N° 1.778, su modificatoria y sus complementarias.</w:t>
      </w:r>
    </w:p>
    <w:p w14:paraId="34748156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7492822D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color w:val="000000"/>
          <w:lang w:val="es-AR" w:eastAsia="es-AR"/>
        </w:rPr>
        <w:t>ARTÍCULO 2°.-</w:t>
      </w:r>
      <w:r w:rsidRPr="00D03F27">
        <w:rPr>
          <w:rFonts w:ascii="Trebuchet MS" w:hAnsi="Trebuchet MS" w:cs="Arial"/>
          <w:color w:val="000000"/>
          <w:lang w:val="es-AR" w:eastAsia="es-AR"/>
        </w:rPr>
        <w:t xml:space="preserve"> No obstante lo establecido en el artículo anterior, determinadas obligaciones -que se especifican en el cronograma previsto en el Artículo 6°-, se podrán cancelar utilizando las siguientes formas de pago electrónicas:</w:t>
      </w:r>
    </w:p>
    <w:p w14:paraId="3398F28F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a) Débito automático, pago telefónico o por “Internet” mediante la utilización de tarjeta de crédito, conforme al procedimiento establecido por la Resolución General Nº 1.644 y su modificación.</w:t>
      </w:r>
    </w:p>
    <w:p w14:paraId="0D9E1552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b) Débito en cuenta a través de cajeros automáticos, observando las previsiones de la Resolución General N° 1.206.</w:t>
      </w:r>
    </w:p>
    <w:p w14:paraId="04A49534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c) Débito directo en cuenta bancaria, a cuyo efecto deberán solicitar previamente la adhesión al servicio por vía telefónica o en la entidad bancaria en la que se encuentre radicada su cuenta, de acuerdo con lo especificado en el sitio “web” de esta Administración Federal (http://www.afip.gob.ar).</w:t>
      </w:r>
    </w:p>
    <w:p w14:paraId="38FC9806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d) Pago electrónico mediante la utilización de tarjetas de crédito y/o débito.</w:t>
      </w:r>
    </w:p>
    <w:p w14:paraId="4D60F77E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e) Cualquier otro medio de pago electrónico admitido o regulado por el Banco Central de la República Argentina e implementado por esta Administración Federal.</w:t>
      </w:r>
    </w:p>
    <w:p w14:paraId="1C038A65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4EE11490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color w:val="000000"/>
          <w:lang w:val="es-AR" w:eastAsia="es-AR"/>
        </w:rPr>
        <w:t>ARTÍCULO 3°.-</w:t>
      </w:r>
      <w:r w:rsidRPr="00D03F27">
        <w:rPr>
          <w:rFonts w:ascii="Trebuchet MS" w:hAnsi="Trebuchet MS" w:cs="Arial"/>
          <w:color w:val="000000"/>
          <w:lang w:val="es-AR" w:eastAsia="es-AR"/>
        </w:rPr>
        <w:t xml:space="preserve"> Lo dispuesto en el Artículo 2° no resultará de aplicación para los sujetos obligados a la utilización del sistema “Cuentas Tributarias”, quiénes continuarán cancelando sus obligaciones de acuerdo con lo especificado en la Resolución General N° 3.486 o mediante alguna de las formas de cancelación automáticas implementadas por esta Administración Federal (débito automático/débito directo).</w:t>
      </w:r>
    </w:p>
    <w:p w14:paraId="2BDECA48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De igual manera, continuarán cancelando sus obligaciones mediante el procedimiento establecido por la Resolución General N° 1.778, su modificatoria y sus complementarias, los sujetos que se encuentran obligados a su utilización conforme a lo previsto por otras normas vigentes a la fecha de publicación de la presente.</w:t>
      </w:r>
    </w:p>
    <w:p w14:paraId="1D02EA33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Asimismo, mantiene su vigencia el cronograma de formas de pago establecido en las Resoluciones Generales Nros. 3.936, 3.982 y 3.990 y sus respectivas modificaciones, para los trabajadores autónomos y los pequeños contribuyentes adheridos al Régimen Simplificado para Pequeños Contribuyentes (RS).</w:t>
      </w:r>
    </w:p>
    <w:p w14:paraId="13DF694B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7CD70FA6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color w:val="000000"/>
          <w:lang w:val="es-AR" w:eastAsia="es-AR"/>
        </w:rPr>
        <w:t>ARTÍCULO 4°.-</w:t>
      </w:r>
      <w:r w:rsidRPr="00D03F27">
        <w:rPr>
          <w:rFonts w:ascii="Trebuchet MS" w:hAnsi="Trebuchet MS" w:cs="Arial"/>
          <w:color w:val="000000"/>
          <w:lang w:val="es-AR" w:eastAsia="es-AR"/>
        </w:rPr>
        <w:t xml:space="preserve"> Los contribuyentes y/o responsables deberán arbitrar los recaudos necesarios, a fin de gestionar las autorizaciones para habilitar los medios electrónicos en la respectiva entidad de pago.</w:t>
      </w:r>
    </w:p>
    <w:p w14:paraId="6180565A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137DAF10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color w:val="000000"/>
          <w:lang w:val="es-AR" w:eastAsia="es-AR"/>
        </w:rPr>
        <w:t>ARTÍCULO 5°.-</w:t>
      </w:r>
      <w:r w:rsidRPr="00D03F27">
        <w:rPr>
          <w:rFonts w:ascii="Trebuchet MS" w:hAnsi="Trebuchet MS" w:cs="Arial"/>
          <w:color w:val="000000"/>
          <w:lang w:val="es-AR" w:eastAsia="es-AR"/>
        </w:rPr>
        <w:t xml:space="preserve"> Modifícase la Resolución General N° 1.217 y su modificación, en la forma que se indica a continuación:</w:t>
      </w:r>
    </w:p>
    <w:p w14:paraId="57B1AFA9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- Sustitúyese el Artículo 2°, por el siguiente:</w:t>
      </w:r>
    </w:p>
    <w:p w14:paraId="56ACBEBC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“ARTICULO 2°.- Para constituir el pago mediante depósito bancario, referido en el primer párrafo del artículo anterior, se admitirán los siguientes medios o procedimientos de cancelación:</w:t>
      </w:r>
    </w:p>
    <w:p w14:paraId="3C1E120E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a) Débito en cuenta en pesos, de acuerdo con lo reglado por el Banco Central de la República Argentina respecto de dicho procedimiento.</w:t>
      </w:r>
    </w:p>
    <w:p w14:paraId="68A7822B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b) Cheque común en pesos, emitido por el titular de la obligación que se cancela a la orden del banco recaudador, entidad que deberá estar habilitada por esta Administración Federal para recibir dicho medio de pago.</w:t>
      </w:r>
    </w:p>
    <w:p w14:paraId="7D3998B7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c) Cheque de pago financiero en pesos.</w:t>
      </w:r>
    </w:p>
    <w:p w14:paraId="25A4904E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d) Cheque cancelatorio en pesos.</w:t>
      </w:r>
    </w:p>
    <w:p w14:paraId="3540C280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Los cheques comunes o cheques de pago financiero, se emplearán en forma excluyente entre sí, y respecto de los demás medios o procedimientos de pago.”.</w:t>
      </w:r>
    </w:p>
    <w:p w14:paraId="10726AE4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107B5DC2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color w:val="000000"/>
          <w:lang w:val="es-AR" w:eastAsia="es-AR"/>
        </w:rPr>
        <w:t>ARTÍCULO 6°.-</w:t>
      </w:r>
      <w:r w:rsidRPr="00D03F27">
        <w:rPr>
          <w:rFonts w:ascii="Trebuchet MS" w:hAnsi="Trebuchet MS" w:cs="Arial"/>
          <w:color w:val="000000"/>
          <w:lang w:val="es-AR" w:eastAsia="es-AR"/>
        </w:rPr>
        <w:t xml:space="preserve"> Las disposiciones de esta resolución general entrarán en vigencia el día de su publicación en el Boletín Oficial y resultarán de aplicación para las obligaciones que se detallan, de acuerdo con el siguiente cronograma:</w:t>
      </w:r>
    </w:p>
    <w:p w14:paraId="67C8A667" w14:textId="77777777" w:rsidR="007D5D98" w:rsidRDefault="007D5D98" w:rsidP="007D5D98"/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3982"/>
        <w:gridCol w:w="2937"/>
      </w:tblGrid>
      <w:tr w:rsidR="007D5D98" w:rsidRPr="00D03F27" w14:paraId="5FBC8265" w14:textId="77777777" w:rsidTr="00834B23">
        <w:tc>
          <w:tcPr>
            <w:tcW w:w="32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4AFD6" w14:textId="77777777" w:rsidR="007D5D98" w:rsidRPr="00D03F27" w:rsidRDefault="007D5D98" w:rsidP="00834B23">
            <w:pPr>
              <w:jc w:val="center"/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OBLIGACIÓN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A663B" w14:textId="77777777" w:rsidR="007D5D98" w:rsidRPr="00D03F27" w:rsidRDefault="007D5D98" w:rsidP="00834B23">
            <w:pPr>
              <w:jc w:val="center"/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MEDIOS DE PAGO</w:t>
            </w:r>
          </w:p>
        </w:tc>
        <w:tc>
          <w:tcPr>
            <w:tcW w:w="29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0B5D5" w14:textId="77777777" w:rsidR="007D5D98" w:rsidRPr="00D03F27" w:rsidRDefault="007D5D98" w:rsidP="00834B23">
            <w:pPr>
              <w:jc w:val="center"/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VENCIMIENTOS OPERADOS A PARTIR DEL:</w:t>
            </w:r>
          </w:p>
        </w:tc>
      </w:tr>
      <w:tr w:rsidR="007D5D98" w:rsidRPr="00D03F27" w14:paraId="743382AB" w14:textId="77777777" w:rsidTr="00834B23">
        <w:tc>
          <w:tcPr>
            <w:tcW w:w="32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34A9C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Pagos de hasta DIEZ PESOS ($ 10.-) por cualquier concepto.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22E6A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Conforme a lo previsto por el Artículo 1°.</w:t>
            </w:r>
          </w:p>
        </w:tc>
        <w:tc>
          <w:tcPr>
            <w:tcW w:w="293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BA05B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Primer día del segundo mes siguiente a la publicación de la presente resolución general en el Boletín Oficial.</w:t>
            </w:r>
          </w:p>
        </w:tc>
      </w:tr>
      <w:tr w:rsidR="007D5D98" w:rsidRPr="00D03F27" w14:paraId="52745D44" w14:textId="77777777" w:rsidTr="00834B23">
        <w:tc>
          <w:tcPr>
            <w:tcW w:w="32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8E27D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Impuesto al valor agregado.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5C5BA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Conforme a lo previsto por el Artículo 1°.</w:t>
            </w:r>
          </w:p>
        </w:tc>
        <w:tc>
          <w:tcPr>
            <w:tcW w:w="293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F5534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</w:p>
        </w:tc>
      </w:tr>
      <w:tr w:rsidR="007D5D98" w:rsidRPr="00D03F27" w14:paraId="74DD6E1B" w14:textId="77777777" w:rsidTr="00834B23">
        <w:tc>
          <w:tcPr>
            <w:tcW w:w="32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AEE71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Seguridad Social. Empleadores (excepto obligaciones de empleadores del personal de casas particulares).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A3EBD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Conforme a lo previsto por el Artículo 1°.</w:t>
            </w:r>
          </w:p>
        </w:tc>
        <w:tc>
          <w:tcPr>
            <w:tcW w:w="293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5C2C3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</w:p>
        </w:tc>
      </w:tr>
      <w:tr w:rsidR="007D5D98" w:rsidRPr="00D03F27" w14:paraId="05F13267" w14:textId="77777777" w:rsidTr="00834B23">
        <w:tc>
          <w:tcPr>
            <w:tcW w:w="32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5F5A6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 xml:space="preserve">Impuesto a las ganancias personas físicas e impuesto sobre los bienes personales </w:t>
            </w: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lastRenderedPageBreak/>
              <w:t>(saldo de declaración jurada).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DCB2E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lastRenderedPageBreak/>
              <w:t>Conforme a lo previsto por el Artículo 1°.</w:t>
            </w:r>
          </w:p>
        </w:tc>
        <w:tc>
          <w:tcPr>
            <w:tcW w:w="293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87084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</w:p>
        </w:tc>
      </w:tr>
      <w:tr w:rsidR="007D5D98" w:rsidRPr="00D03F27" w14:paraId="5FE042D1" w14:textId="77777777" w:rsidTr="00834B23">
        <w:tc>
          <w:tcPr>
            <w:tcW w:w="32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7409C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lastRenderedPageBreak/>
              <w:t>Impuesto a las ganancias personas físicas e impuesto sobre los bienes personales (anticipos).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65413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Según lo establecido en el Artículo 1° o 2°.</w:t>
            </w:r>
          </w:p>
        </w:tc>
        <w:tc>
          <w:tcPr>
            <w:tcW w:w="293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4279C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</w:p>
        </w:tc>
      </w:tr>
      <w:tr w:rsidR="007D5D98" w:rsidRPr="00D03F27" w14:paraId="6C595FCD" w14:textId="77777777" w:rsidTr="00834B23">
        <w:tc>
          <w:tcPr>
            <w:tcW w:w="32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04024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Autónomos: Categorías II y II’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9745B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Según lo establecido en el Artículo 1° o 2°.</w:t>
            </w:r>
          </w:p>
        </w:tc>
        <w:tc>
          <w:tcPr>
            <w:tcW w:w="293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18147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</w:p>
        </w:tc>
      </w:tr>
      <w:tr w:rsidR="007D5D98" w:rsidRPr="00D03F27" w14:paraId="159EF14F" w14:textId="77777777" w:rsidTr="00834B23">
        <w:tc>
          <w:tcPr>
            <w:tcW w:w="32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D219A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Autónomos: Categorías I y I’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EDA99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Según lo establecido en el Artículo 1° o 2°.</w:t>
            </w:r>
          </w:p>
        </w:tc>
        <w:tc>
          <w:tcPr>
            <w:tcW w:w="293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50E9F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Primer día del séptimo mes siguiente a la publicación de la presente resolución general en el Boletín Oficial.</w:t>
            </w:r>
          </w:p>
        </w:tc>
      </w:tr>
      <w:tr w:rsidR="007D5D98" w:rsidRPr="00D03F27" w14:paraId="267274B7" w14:textId="77777777" w:rsidTr="00834B23">
        <w:tc>
          <w:tcPr>
            <w:tcW w:w="32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C2DCF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Restantes obligaciones impositivas y de los recursos de la seguridad social.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603F7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  <w:r w:rsidRPr="00D03F27">
              <w:rPr>
                <w:rFonts w:ascii="Trebuchet MS" w:hAnsi="Trebuchet MS" w:cs="Arial"/>
                <w:color w:val="000000"/>
                <w:lang w:val="es-AR" w:eastAsia="es-AR"/>
              </w:rPr>
              <w:t>Según lo establecido en el Artículo 1° o 2°, excepto que por una norma específica existiera la obligación de pagar únicamente según el Artículo 1°.</w:t>
            </w:r>
          </w:p>
        </w:tc>
        <w:tc>
          <w:tcPr>
            <w:tcW w:w="293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522E331" w14:textId="77777777" w:rsidR="007D5D98" w:rsidRPr="00D03F27" w:rsidRDefault="007D5D98" w:rsidP="00834B23">
            <w:pPr>
              <w:rPr>
                <w:rFonts w:ascii="Trebuchet MS" w:hAnsi="Trebuchet MS" w:cs="Arial"/>
                <w:color w:val="000000"/>
                <w:lang w:val="es-AR" w:eastAsia="es-AR"/>
              </w:rPr>
            </w:pPr>
          </w:p>
        </w:tc>
      </w:tr>
    </w:tbl>
    <w:p w14:paraId="0FF466E0" w14:textId="77777777" w:rsidR="007D5D98" w:rsidRPr="00D03F27" w:rsidRDefault="007D5D98" w:rsidP="007D5D98">
      <w:pPr>
        <w:rPr>
          <w:rFonts w:ascii="Trebuchet MS" w:hAnsi="Trebuchet MS"/>
        </w:rPr>
      </w:pPr>
    </w:p>
    <w:p w14:paraId="2E1B6369" w14:textId="77777777" w:rsidR="007D5D98" w:rsidRDefault="007D5D98" w:rsidP="007D5D98"/>
    <w:p w14:paraId="6BC18A49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b/>
          <w:color w:val="000000"/>
          <w:lang w:val="es-AR" w:eastAsia="es-AR"/>
        </w:rPr>
        <w:t>ARTÍCULO 7°.-</w:t>
      </w:r>
      <w:r w:rsidRPr="00D03F27">
        <w:rPr>
          <w:rFonts w:ascii="Trebuchet MS" w:hAnsi="Trebuchet MS" w:cs="Arial"/>
          <w:color w:val="000000"/>
          <w:lang w:val="es-AR" w:eastAsia="es-AR"/>
        </w:rPr>
        <w:t xml:space="preserve"> Comuníquese, publíquese, dése a la Dirección Nacional del Registro Oficial y archívese. — Alberto R. Abad.</w:t>
      </w:r>
    </w:p>
    <w:p w14:paraId="7AE2F5DF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6FFF66D1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  <w:r w:rsidRPr="00D03F27">
        <w:rPr>
          <w:rFonts w:ascii="Trebuchet MS" w:hAnsi="Trebuchet MS" w:cs="Arial"/>
          <w:color w:val="000000"/>
          <w:lang w:val="es-AR" w:eastAsia="es-AR"/>
        </w:rPr>
        <w:t>e. 30/06/2017 N° 46322/17 v. 30/06/2017</w:t>
      </w:r>
    </w:p>
    <w:p w14:paraId="3418550A" w14:textId="77777777" w:rsidR="007D5D98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248336E1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 w:cs="Arial"/>
          <w:color w:val="000000"/>
          <w:lang w:val="es-AR" w:eastAsia="es-AR"/>
        </w:rPr>
      </w:pPr>
    </w:p>
    <w:p w14:paraId="58DD0BD6" w14:textId="77777777" w:rsidR="007D5D98" w:rsidRPr="00D03F27" w:rsidRDefault="007D5D98" w:rsidP="007D5D98">
      <w:pPr>
        <w:spacing w:line="240" w:lineRule="exact"/>
        <w:jc w:val="both"/>
        <w:textAlignment w:val="baseline"/>
        <w:rPr>
          <w:rFonts w:ascii="Trebuchet MS" w:hAnsi="Trebuchet MS"/>
          <w:i/>
          <w:iCs/>
          <w:color w:val="515151"/>
          <w:lang w:val="es-AR" w:eastAsia="es-AR"/>
        </w:rPr>
      </w:pPr>
      <w:r w:rsidRPr="00D03F27">
        <w:rPr>
          <w:rFonts w:ascii="Trebuchet MS" w:hAnsi="Trebuchet MS"/>
          <w:b/>
          <w:bCs/>
          <w:i/>
          <w:iCs/>
          <w:color w:val="515151"/>
          <w:bdr w:val="none" w:sz="0" w:space="0" w:color="auto" w:frame="1"/>
          <w:lang w:val="es-AR" w:eastAsia="es-AR"/>
        </w:rPr>
        <w:t>Fecha de publicación </w:t>
      </w:r>
      <w:r w:rsidRPr="00D03F27">
        <w:rPr>
          <w:rFonts w:ascii="Trebuchet MS" w:hAnsi="Trebuchet MS"/>
          <w:i/>
          <w:iCs/>
          <w:color w:val="515151"/>
          <w:bdr w:val="none" w:sz="0" w:space="0" w:color="auto" w:frame="1"/>
          <w:lang w:val="es-AR" w:eastAsia="es-AR"/>
        </w:rPr>
        <w:t>30/06/2017</w:t>
      </w:r>
    </w:p>
    <w:p w14:paraId="331BF021" w14:textId="77777777" w:rsidR="007D5D98" w:rsidRPr="00D03F27" w:rsidRDefault="007D5D98" w:rsidP="007D5D98">
      <w:pPr>
        <w:spacing w:line="240" w:lineRule="exact"/>
        <w:jc w:val="both"/>
        <w:rPr>
          <w:rFonts w:ascii="Trebuchet MS" w:hAnsi="Trebuchet MS"/>
        </w:rPr>
      </w:pPr>
    </w:p>
    <w:p w14:paraId="51D7DE3B" w14:textId="77777777" w:rsidR="007D5D98" w:rsidRPr="00D03F27" w:rsidRDefault="007D5D98" w:rsidP="007D5D98">
      <w:pPr>
        <w:spacing w:line="240" w:lineRule="exact"/>
        <w:jc w:val="both"/>
        <w:rPr>
          <w:rFonts w:ascii="Trebuchet MS" w:hAnsi="Trebuchet MS"/>
        </w:rPr>
      </w:pPr>
    </w:p>
    <w:p w14:paraId="6CDB0543" w14:textId="0E5515F3" w:rsidR="00592F1B" w:rsidRDefault="00592F1B"/>
    <w:sectPr w:rsidR="00592F1B" w:rsidSect="00B64518">
      <w:headerReference w:type="default" r:id="rId7"/>
      <w:footerReference w:type="default" r:id="rId8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56B6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0B08B00E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70E7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121D1C12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DDA4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D4F00D2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ADDA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5233B2C2" wp14:editId="245DAB86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484AE6"/>
    <w:rsid w:val="00592F1B"/>
    <w:rsid w:val="006D1685"/>
    <w:rsid w:val="007906D4"/>
    <w:rsid w:val="007D5D98"/>
    <w:rsid w:val="00905D9F"/>
    <w:rsid w:val="00B21F6A"/>
    <w:rsid w:val="00B64518"/>
    <w:rsid w:val="00B6751E"/>
    <w:rsid w:val="00B91930"/>
    <w:rsid w:val="00E92FFD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F6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6250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2021-04-29T12:04:00Z</dcterms:created>
  <dcterms:modified xsi:type="dcterms:W3CDTF">2021-04-29T12:04:00Z</dcterms:modified>
</cp:coreProperties>
</file>