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452B5" w14:textId="77777777" w:rsidR="00D73CA0" w:rsidRDefault="00D73CA0" w:rsidP="00D73CA0">
      <w:pPr>
        <w:widowControl w:val="0"/>
        <w:autoSpaceDE w:val="0"/>
        <w:autoSpaceDN w:val="0"/>
        <w:adjustRightInd w:val="0"/>
        <w:spacing w:before="9" w:after="0" w:line="240" w:lineRule="auto"/>
        <w:ind w:right="-1"/>
        <w:jc w:val="both"/>
        <w:rPr>
          <w:rFonts w:ascii="Times New Roman" w:hAnsi="Times New Roman" w:cs="Times New Roman"/>
          <w:sz w:val="21"/>
          <w:szCs w:val="21"/>
          <w:lang w:val="es-ES"/>
        </w:rPr>
      </w:pPr>
    </w:p>
    <w:p w14:paraId="7B55B14F" w14:textId="77777777" w:rsidR="00D73CA0" w:rsidRDefault="00D73CA0" w:rsidP="00D73CA0">
      <w:pPr>
        <w:widowControl w:val="0"/>
        <w:autoSpaceDE w:val="0"/>
        <w:autoSpaceDN w:val="0"/>
        <w:adjustRightInd w:val="0"/>
        <w:spacing w:after="0" w:line="20" w:lineRule="exact"/>
        <w:ind w:left="285" w:right="-1"/>
        <w:jc w:val="both"/>
        <w:rPr>
          <w:rFonts w:ascii="Times New Roman" w:hAnsi="Times New Roman" w:cs="Times New Roman"/>
          <w:sz w:val="2"/>
          <w:szCs w:val="2"/>
          <w:lang w:val="es-ES"/>
        </w:rPr>
      </w:pPr>
    </w:p>
    <w:p w14:paraId="21800F73" w14:textId="77777777" w:rsidR="00D73CA0" w:rsidRDefault="00D73CA0" w:rsidP="00D73CA0">
      <w:pPr>
        <w:widowControl w:val="0"/>
        <w:autoSpaceDE w:val="0"/>
        <w:autoSpaceDN w:val="0"/>
        <w:adjustRightInd w:val="0"/>
        <w:spacing w:before="1" w:after="0" w:line="240" w:lineRule="auto"/>
        <w:ind w:right="-1"/>
        <w:jc w:val="both"/>
        <w:rPr>
          <w:rFonts w:ascii="Times New Roman" w:hAnsi="Times New Roman" w:cs="Times New Roman"/>
          <w:sz w:val="24"/>
          <w:szCs w:val="24"/>
          <w:lang w:val="es-ES"/>
        </w:rPr>
      </w:pPr>
    </w:p>
    <w:p w14:paraId="48DD6A0C" w14:textId="77777777" w:rsidR="00D73CA0" w:rsidRPr="000B7840" w:rsidRDefault="00D73CA0" w:rsidP="00D73CA0">
      <w:pPr>
        <w:widowControl w:val="0"/>
        <w:autoSpaceDE w:val="0"/>
        <w:autoSpaceDN w:val="0"/>
        <w:adjustRightInd w:val="0"/>
        <w:spacing w:before="100" w:after="0" w:line="240" w:lineRule="auto"/>
        <w:ind w:right="-1"/>
        <w:jc w:val="center"/>
        <w:rPr>
          <w:rStyle w:val="Textoennegrita"/>
        </w:rPr>
      </w:pPr>
      <w:bookmarkStart w:id="0" w:name="_GoBack"/>
      <w:r w:rsidRPr="000B7840">
        <w:rPr>
          <w:rStyle w:val="Textoennegrita"/>
        </w:rPr>
        <w:t>REGULACIÓN DE UTILIZACIÓN DE VIDEOCÁMARAS PARA GRABAR IMÁGENES DE ESPACIOS PÚBLICOS</w:t>
      </w:r>
    </w:p>
    <w:p w14:paraId="713A1BD5" w14:textId="77777777" w:rsidR="00D73CA0" w:rsidRPr="000B7840" w:rsidRDefault="00D73CA0" w:rsidP="00D73CA0">
      <w:pPr>
        <w:widowControl w:val="0"/>
        <w:autoSpaceDE w:val="0"/>
        <w:autoSpaceDN w:val="0"/>
        <w:adjustRightInd w:val="0"/>
        <w:spacing w:before="11" w:after="0" w:line="240" w:lineRule="auto"/>
        <w:ind w:right="-1"/>
        <w:jc w:val="center"/>
        <w:rPr>
          <w:rStyle w:val="Textoennegrita"/>
        </w:rPr>
      </w:pPr>
    </w:p>
    <w:p w14:paraId="39E19841" w14:textId="17B13D25" w:rsidR="00D73CA0" w:rsidRPr="000B7840" w:rsidRDefault="00D73CA0" w:rsidP="00D73CA0">
      <w:pPr>
        <w:widowControl w:val="0"/>
        <w:autoSpaceDE w:val="0"/>
        <w:autoSpaceDN w:val="0"/>
        <w:adjustRightInd w:val="0"/>
        <w:spacing w:after="0" w:line="480" w:lineRule="auto"/>
        <w:ind w:right="-1"/>
        <w:jc w:val="center"/>
        <w:rPr>
          <w:rStyle w:val="Textoennegrita"/>
        </w:rPr>
      </w:pPr>
      <w:r w:rsidRPr="000B7840">
        <w:rPr>
          <w:rStyle w:val="Textoennegrita"/>
        </w:rPr>
        <w:t>REGLAMENTACIÓN PARCIAL DE LA LEY N° 2602</w:t>
      </w:r>
    </w:p>
    <w:p w14:paraId="3534D9E2" w14:textId="0583794E" w:rsidR="00D73CA0" w:rsidRPr="000B7840" w:rsidRDefault="00D73CA0" w:rsidP="00D73CA0">
      <w:pPr>
        <w:widowControl w:val="0"/>
        <w:autoSpaceDE w:val="0"/>
        <w:autoSpaceDN w:val="0"/>
        <w:adjustRightInd w:val="0"/>
        <w:spacing w:after="0" w:line="480" w:lineRule="auto"/>
        <w:ind w:right="-1"/>
        <w:jc w:val="center"/>
        <w:rPr>
          <w:rStyle w:val="Textoennegrita"/>
        </w:rPr>
      </w:pPr>
      <w:r w:rsidRPr="000B7840">
        <w:rPr>
          <w:rStyle w:val="Textoennegrita"/>
        </w:rPr>
        <w:t xml:space="preserve">GOBIERNO DE LA CIUDAD DE </w:t>
      </w:r>
      <w:proofErr w:type="gramStart"/>
      <w:r w:rsidRPr="000B7840">
        <w:rPr>
          <w:rStyle w:val="Textoennegrita"/>
        </w:rPr>
        <w:t>BUENOS AIRES</w:t>
      </w:r>
      <w:proofErr w:type="gramEnd"/>
    </w:p>
    <w:p w14:paraId="5D4AB389" w14:textId="47977005" w:rsidR="00D73CA0" w:rsidRPr="000B7840" w:rsidRDefault="00D73CA0" w:rsidP="00D73CA0">
      <w:pPr>
        <w:widowControl w:val="0"/>
        <w:autoSpaceDE w:val="0"/>
        <w:autoSpaceDN w:val="0"/>
        <w:adjustRightInd w:val="0"/>
        <w:spacing w:after="0" w:line="480" w:lineRule="auto"/>
        <w:ind w:right="-1"/>
        <w:jc w:val="center"/>
        <w:rPr>
          <w:rStyle w:val="Textoennegrita"/>
        </w:rPr>
      </w:pPr>
      <w:r w:rsidRPr="000B7840">
        <w:rPr>
          <w:rStyle w:val="Textoennegrita"/>
        </w:rPr>
        <w:t>DECRETO N° 300/14</w:t>
      </w:r>
    </w:p>
    <w:bookmarkEnd w:id="0"/>
    <w:p w14:paraId="15D68409" w14:textId="77777777" w:rsidR="00D73CA0" w:rsidRDefault="00D73CA0" w:rsidP="00D73CA0">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21 de julio de 2014</w:t>
      </w:r>
    </w:p>
    <w:p w14:paraId="61940B02"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07773F58"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b/>
          <w:bCs/>
          <w:sz w:val="20"/>
          <w:szCs w:val="20"/>
          <w:lang w:val="es-ES"/>
        </w:rPr>
      </w:pPr>
      <w:r>
        <w:rPr>
          <w:rFonts w:ascii="Trebuchet MS" w:hAnsi="Trebuchet MS" w:cs="Trebuchet MS"/>
          <w:b/>
          <w:bCs/>
          <w:sz w:val="20"/>
          <w:szCs w:val="20"/>
          <w:lang w:val="es-ES"/>
        </w:rPr>
        <w:t>VISTO:</w:t>
      </w:r>
    </w:p>
    <w:p w14:paraId="04C5D0DD" w14:textId="77777777" w:rsidR="00D73CA0" w:rsidRDefault="00D73CA0" w:rsidP="00D73CA0">
      <w:pPr>
        <w:widowControl w:val="0"/>
        <w:autoSpaceDE w:val="0"/>
        <w:autoSpaceDN w:val="0"/>
        <w:adjustRightInd w:val="0"/>
        <w:spacing w:before="4" w:after="0" w:line="240" w:lineRule="auto"/>
        <w:ind w:right="-1"/>
        <w:jc w:val="both"/>
        <w:rPr>
          <w:rFonts w:ascii="Times New Roman" w:hAnsi="Times New Roman" w:cs="Times New Roman"/>
          <w:b/>
          <w:bCs/>
          <w:sz w:val="11"/>
          <w:szCs w:val="11"/>
          <w:lang w:val="es-ES"/>
        </w:rPr>
      </w:pPr>
    </w:p>
    <w:p w14:paraId="33EA631C" w14:textId="77777777" w:rsidR="00D73CA0" w:rsidRDefault="00D73CA0" w:rsidP="00D73CA0">
      <w:pPr>
        <w:widowControl w:val="0"/>
        <w:autoSpaceDE w:val="0"/>
        <w:autoSpaceDN w:val="0"/>
        <w:adjustRightInd w:val="0"/>
        <w:spacing w:before="100" w:after="0" w:line="240" w:lineRule="auto"/>
        <w:ind w:left="114" w:right="-1"/>
        <w:jc w:val="both"/>
        <w:rPr>
          <w:rFonts w:ascii="Trebuchet MS" w:hAnsi="Trebuchet MS" w:cs="Trebuchet MS"/>
          <w:sz w:val="20"/>
          <w:szCs w:val="20"/>
          <w:lang w:val="es-ES"/>
        </w:rPr>
      </w:pPr>
      <w:r>
        <w:rPr>
          <w:rFonts w:ascii="Trebuchet MS" w:hAnsi="Trebuchet MS" w:cs="Trebuchet MS"/>
          <w:sz w:val="20"/>
          <w:szCs w:val="20"/>
          <w:lang w:val="es-ES"/>
        </w:rPr>
        <w:t>La Ley Nº 2.602 y sus modificatorias Nº 3.130 y Nº 3.998, el Decreto Nº 716/09 y su modificatorio Nº 1.119/09, los Expedientes Nº 2208104/12 y Nº 2101026/11, y</w:t>
      </w:r>
    </w:p>
    <w:p w14:paraId="41E9052F" w14:textId="77777777" w:rsidR="00D73CA0" w:rsidRDefault="00D73CA0" w:rsidP="00D73CA0">
      <w:pPr>
        <w:widowControl w:val="0"/>
        <w:autoSpaceDE w:val="0"/>
        <w:autoSpaceDN w:val="0"/>
        <w:adjustRightInd w:val="0"/>
        <w:spacing w:before="1" w:after="0" w:line="240" w:lineRule="auto"/>
        <w:ind w:right="-1"/>
        <w:jc w:val="both"/>
        <w:rPr>
          <w:rFonts w:ascii="Times New Roman" w:hAnsi="Times New Roman" w:cs="Times New Roman"/>
          <w:sz w:val="20"/>
          <w:szCs w:val="20"/>
          <w:lang w:val="es-ES"/>
        </w:rPr>
      </w:pPr>
    </w:p>
    <w:p w14:paraId="2378B803"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938200E"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p>
    <w:p w14:paraId="2932B88A" w14:textId="77777777" w:rsidR="00D73CA0" w:rsidRDefault="00D73CA0" w:rsidP="00D73CA0">
      <w:pPr>
        <w:widowControl w:val="0"/>
        <w:autoSpaceDE w:val="0"/>
        <w:autoSpaceDN w:val="0"/>
        <w:adjustRightInd w:val="0"/>
        <w:spacing w:after="0" w:line="240" w:lineRule="auto"/>
        <w:ind w:left="114" w:right="-1"/>
        <w:jc w:val="both"/>
        <w:rPr>
          <w:rFonts w:ascii="Times New Roman" w:hAnsi="Times New Roman" w:cs="Times New Roman"/>
          <w:sz w:val="20"/>
          <w:szCs w:val="20"/>
          <w:lang w:val="es-ES"/>
        </w:rPr>
      </w:pPr>
    </w:p>
    <w:p w14:paraId="19DE5EDA"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02E98713"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sz w:val="20"/>
          <w:szCs w:val="20"/>
          <w:lang w:val="es-ES"/>
        </w:rPr>
      </w:pPr>
      <w:r>
        <w:rPr>
          <w:rFonts w:ascii="Trebuchet MS" w:hAnsi="Trebuchet MS" w:cs="Trebuchet MS"/>
          <w:sz w:val="20"/>
          <w:szCs w:val="20"/>
          <w:lang w:val="es-ES"/>
        </w:rPr>
        <w:t>Que a través de la Ley Nº 2.602 se regula la utilización, por parte del Poder Ejecutivo, de videocámaras para grabar imágenes en lugares públicos y su posterior tratamiento, estableciendo el régimen de garantías de los derechos fundamentales y libertades públicas de los ciudadanos que habrá de respetarse ineludiblemente en las sucesivas fases de grabación y uso de las imágenes;</w:t>
      </w:r>
    </w:p>
    <w:p w14:paraId="53EF8804"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2741F06D"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sz w:val="20"/>
          <w:szCs w:val="20"/>
          <w:lang w:val="es-ES"/>
        </w:rPr>
        <w:t>Que la Ley precitada fue modificada por su similar N° 3.998, que incorporó el artículo 18 bis a ese plexo legal, estableciendo que los titulares de establecimientos privados que posean cámaras de video vigilancia tipo domo o de tecnología similar que capten imágenes exclusivamente del espacio público, deberán proceder a inscribirse en un registro creado a tal efecto por la Autoridad de Aplicación dentro del año de creación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mismo;</w:t>
      </w:r>
    </w:p>
    <w:p w14:paraId="27B15074"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8683739"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13 de la Ley que se reglamenta dispone que la Autoridad de Aplicación debe crear un Registro en el que figuren todas las videocámaras que se instalen, especificando su estado operativo y otros datos que a su juicio puedan resultar de interés;</w:t>
      </w:r>
    </w:p>
    <w:p w14:paraId="311B71AE"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4E4F03D"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el Decreto Nº 716/09, modificado por su similar Nº 1.119/09, se reglamenta la Ley N° 2.602, disponiendo su artículo 13 que el Centro de Monitoreo Urbano y el Registro establecido en el ya citado artículo 13 de la Ley en estudio, funcionarán en el ámbito de la Policía Metropolitana, dependiente del Ministerio de Justicia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Seguridad;</w:t>
      </w:r>
    </w:p>
    <w:p w14:paraId="5DE10756"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CE34A68" w14:textId="77777777" w:rsidR="00D73CA0" w:rsidRDefault="00D73CA0" w:rsidP="00D73CA0">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inciso a) del artículo 14 de la Ley Nº 2.602 dispone que la existencia de videocámaras, así como la autoridad responsable de su aplicación, debe informarse mediante un cartel indicativo de manera clara y permanente, excepto orden en contrario por parte de autoridad judicial;</w:t>
      </w:r>
    </w:p>
    <w:p w14:paraId="56AA3B4A"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kern w:val="1"/>
          <w:sz w:val="19"/>
          <w:szCs w:val="19"/>
          <w:lang w:val="es-ES"/>
        </w:rPr>
      </w:pPr>
    </w:p>
    <w:p w14:paraId="5BB178F9"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otro lado, el inciso c) del mismo artículo, incorporado por la Ley Nº 3.998, establece que la Autoridad de Aplicación debe publicar en la página web del Gobierno de la Ciudad de Buenos Aires los puntos en los cuales se instalen videocámaras;</w:t>
      </w:r>
    </w:p>
    <w:p w14:paraId="427AC24C"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A7CAF47"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virtud de lo expuesto resulta necesario reglamentar los artículos 14, incisos a) y c), y 18 bis de la Ley Nº 2.602.</w:t>
      </w:r>
    </w:p>
    <w:p w14:paraId="1C5D368C"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kern w:val="1"/>
          <w:sz w:val="19"/>
          <w:szCs w:val="19"/>
          <w:lang w:val="es-ES"/>
        </w:rPr>
      </w:pPr>
    </w:p>
    <w:p w14:paraId="3F026729"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 en uso de las atribuciones conferidas por los artículos 102 y 104 de la Constitución de la Ciudad Autónoma de Buenos Aires,</w:t>
      </w:r>
    </w:p>
    <w:p w14:paraId="5A3C629D"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FD1560B" w14:textId="77777777" w:rsidR="00D73CA0" w:rsidRDefault="00D73CA0" w:rsidP="00D73CA0">
      <w:pPr>
        <w:widowControl w:val="0"/>
        <w:autoSpaceDE w:val="0"/>
        <w:autoSpaceDN w:val="0"/>
        <w:adjustRightInd w:val="0"/>
        <w:spacing w:before="1" w:after="0" w:line="240" w:lineRule="auto"/>
        <w:ind w:left="4648" w:right="-1" w:hanging="2694"/>
        <w:jc w:val="both"/>
        <w:rPr>
          <w:rFonts w:ascii="Trebuchet MS" w:hAnsi="Trebuchet MS" w:cs="Trebuchet MS"/>
          <w:b/>
          <w:bCs/>
          <w:kern w:val="1"/>
          <w:sz w:val="20"/>
          <w:szCs w:val="20"/>
          <w:lang w:val="es-ES"/>
        </w:rPr>
      </w:pPr>
    </w:p>
    <w:p w14:paraId="3CDE9A05" w14:textId="77777777" w:rsidR="00D73CA0" w:rsidRDefault="00D73CA0" w:rsidP="00D73CA0">
      <w:pPr>
        <w:widowControl w:val="0"/>
        <w:autoSpaceDE w:val="0"/>
        <w:autoSpaceDN w:val="0"/>
        <w:adjustRightInd w:val="0"/>
        <w:spacing w:before="1" w:after="0" w:line="240" w:lineRule="auto"/>
        <w:ind w:left="4648" w:right="-1" w:hanging="2694"/>
        <w:jc w:val="both"/>
        <w:rPr>
          <w:rFonts w:ascii="Trebuchet MS" w:hAnsi="Trebuchet MS" w:cs="Trebuchet MS"/>
          <w:b/>
          <w:bCs/>
          <w:kern w:val="1"/>
          <w:sz w:val="20"/>
          <w:szCs w:val="20"/>
          <w:lang w:val="es-ES"/>
        </w:rPr>
      </w:pPr>
    </w:p>
    <w:p w14:paraId="42C78A3B" w14:textId="77777777" w:rsidR="00D73CA0" w:rsidRDefault="00D73CA0" w:rsidP="00D73CA0">
      <w:pPr>
        <w:widowControl w:val="0"/>
        <w:autoSpaceDE w:val="0"/>
        <w:autoSpaceDN w:val="0"/>
        <w:adjustRightInd w:val="0"/>
        <w:spacing w:before="1" w:after="0" w:line="240" w:lineRule="auto"/>
        <w:ind w:left="4648" w:right="-1" w:hanging="2694"/>
        <w:jc w:val="both"/>
        <w:rPr>
          <w:rFonts w:ascii="Trebuchet MS" w:hAnsi="Trebuchet MS" w:cs="Trebuchet MS"/>
          <w:b/>
          <w:bCs/>
          <w:kern w:val="1"/>
          <w:sz w:val="20"/>
          <w:szCs w:val="20"/>
          <w:lang w:val="es-ES"/>
        </w:rPr>
      </w:pPr>
    </w:p>
    <w:p w14:paraId="7C0EE028" w14:textId="77777777" w:rsidR="00D73CA0" w:rsidRDefault="00D73CA0" w:rsidP="00D73CA0">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61BA5FDB" w14:textId="77777777" w:rsidR="00D73CA0" w:rsidRDefault="00D73CA0" w:rsidP="00D73CA0">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59A00F41" w14:textId="77777777" w:rsidR="00D73CA0" w:rsidRDefault="00D73CA0" w:rsidP="00D73CA0">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JEFE DE GOBIERNO DE LA CIUDAD AUTÓNOMA DE BUENOS AIRES DECRETA</w:t>
      </w:r>
    </w:p>
    <w:p w14:paraId="6C7611DE" w14:textId="77777777" w:rsidR="00D73CA0" w:rsidRDefault="00D73CA0" w:rsidP="00D73CA0">
      <w:pPr>
        <w:widowControl w:val="0"/>
        <w:autoSpaceDE w:val="0"/>
        <w:autoSpaceDN w:val="0"/>
        <w:adjustRightInd w:val="0"/>
        <w:spacing w:before="90" w:after="0" w:line="240" w:lineRule="auto"/>
        <w:ind w:left="114"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w:t>
      </w:r>
      <w:proofErr w:type="spellStart"/>
      <w:r>
        <w:rPr>
          <w:rFonts w:ascii="Trebuchet MS" w:hAnsi="Trebuchet MS" w:cs="Trebuchet MS"/>
          <w:kern w:val="1"/>
          <w:sz w:val="20"/>
          <w:szCs w:val="20"/>
          <w:lang w:val="es-ES"/>
        </w:rPr>
        <w:t>Apruébase</w:t>
      </w:r>
      <w:proofErr w:type="spellEnd"/>
      <w:r>
        <w:rPr>
          <w:rFonts w:ascii="Trebuchet MS" w:hAnsi="Trebuchet MS" w:cs="Trebuchet MS"/>
          <w:kern w:val="1"/>
          <w:sz w:val="20"/>
          <w:szCs w:val="20"/>
          <w:lang w:val="es-ES"/>
        </w:rPr>
        <w:t xml:space="preserve"> la reglamentación de los incisos a) y c) del artículo 14 y </w:t>
      </w:r>
      <w:proofErr w:type="spellStart"/>
      <w:r>
        <w:rPr>
          <w:rFonts w:ascii="Trebuchet MS" w:hAnsi="Trebuchet MS" w:cs="Trebuchet MS"/>
          <w:kern w:val="1"/>
          <w:sz w:val="20"/>
          <w:szCs w:val="20"/>
          <w:lang w:val="es-ES"/>
        </w:rPr>
        <w:t>delartículo</w:t>
      </w:r>
      <w:proofErr w:type="spellEnd"/>
      <w:r>
        <w:rPr>
          <w:rFonts w:ascii="Trebuchet MS" w:hAnsi="Trebuchet MS" w:cs="Trebuchet MS"/>
          <w:kern w:val="1"/>
          <w:sz w:val="20"/>
          <w:szCs w:val="20"/>
          <w:lang w:val="es-ES"/>
        </w:rPr>
        <w:t xml:space="preserve"> 18 bis de la Ley Nº 2.602, que como Anexo I (IF 2014-8617635-MJYSGC) forma parte integrante del presente Decreto.</w:t>
      </w:r>
    </w:p>
    <w:p w14:paraId="08986903"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A015934" w14:textId="77777777" w:rsidR="00D73CA0" w:rsidRDefault="00D73CA0" w:rsidP="00D73CA0">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El Ministerio de Justicia y Seguridad dicta las normas complementarias, operativas e interpretativas que fueren necesarias para una mejor aplicación de la Ley Nº 2.602 y la reglamentación que por la presente se aprueba.</w:t>
      </w:r>
    </w:p>
    <w:p w14:paraId="00C7F3D1"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kern w:val="1"/>
          <w:sz w:val="19"/>
          <w:szCs w:val="19"/>
          <w:lang w:val="es-ES"/>
        </w:rPr>
      </w:pPr>
    </w:p>
    <w:p w14:paraId="11E136D3"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El presente Decreto es refrendado por los señores Ministros de Justicia y Seguridad y por el señor Jefe de Gabinete de Ministros.</w:t>
      </w:r>
    </w:p>
    <w:p w14:paraId="08010257"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kern w:val="1"/>
          <w:sz w:val="19"/>
          <w:szCs w:val="19"/>
          <w:lang w:val="es-ES"/>
        </w:rPr>
      </w:pPr>
    </w:p>
    <w:p w14:paraId="29C37FBD"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 Publíquese en el Boletín Oficial de la Ciudad de Buenos Aires, comuníquese a la Jefatura de Gabinete de Ministros, y a la Agencia Gubernamental de Control, y para su conocimiento y demás efectos remítase al Ministerio de Justicia y Seguridad. Cumplido, archívese. MACRI - Montenegro - Rodríguez Larreta</w:t>
      </w:r>
    </w:p>
    <w:p w14:paraId="4C08335D"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1A753BB"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B442678" w14:textId="77777777" w:rsidR="00D73CA0" w:rsidRDefault="00D73CA0" w:rsidP="00D73CA0">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4084950C"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b/>
          <w:bCs/>
          <w:kern w:val="1"/>
          <w:sz w:val="19"/>
          <w:szCs w:val="19"/>
          <w:lang w:val="es-ES"/>
        </w:rPr>
      </w:pPr>
    </w:p>
    <w:p w14:paraId="3956C3D4" w14:textId="77777777" w:rsidR="00D73CA0" w:rsidRDefault="00D73CA0" w:rsidP="00D73CA0">
      <w:pPr>
        <w:widowControl w:val="0"/>
        <w:autoSpaceDE w:val="0"/>
        <w:autoSpaceDN w:val="0"/>
        <w:adjustRightInd w:val="0"/>
        <w:spacing w:after="0" w:line="240" w:lineRule="auto"/>
        <w:ind w:left="114"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Artículo 14</w:t>
      </w:r>
      <w:r>
        <w:rPr>
          <w:rFonts w:ascii="Times New Roman" w:hAnsi="Times New Roman" w:cs="Times New Roman"/>
          <w:kern w:val="1"/>
          <w:sz w:val="20"/>
          <w:szCs w:val="20"/>
          <w:lang w:val="es-ES"/>
        </w:rPr>
        <w:t>.-</w:t>
      </w:r>
    </w:p>
    <w:p w14:paraId="50A36705" w14:textId="77777777" w:rsidR="00D73CA0" w:rsidRDefault="00D73CA0" w:rsidP="00D73CA0">
      <w:pPr>
        <w:widowControl w:val="0"/>
        <w:autoSpaceDE w:val="0"/>
        <w:autoSpaceDN w:val="0"/>
        <w:adjustRightInd w:val="0"/>
        <w:spacing w:before="4" w:after="0" w:line="240" w:lineRule="auto"/>
        <w:ind w:right="-1"/>
        <w:jc w:val="both"/>
        <w:rPr>
          <w:rFonts w:ascii="Times New Roman" w:hAnsi="Times New Roman" w:cs="Times New Roman"/>
          <w:kern w:val="1"/>
          <w:sz w:val="11"/>
          <w:szCs w:val="11"/>
          <w:lang w:val="es-ES"/>
        </w:rPr>
      </w:pPr>
    </w:p>
    <w:p w14:paraId="27B3FDD7" w14:textId="77777777" w:rsidR="00D73CA0" w:rsidRDefault="00D73CA0" w:rsidP="00D73CA0">
      <w:pPr>
        <w:widowControl w:val="0"/>
        <w:autoSpaceDE w:val="0"/>
        <w:autoSpaceDN w:val="0"/>
        <w:adjustRightInd w:val="0"/>
        <w:spacing w:before="101" w:after="0" w:line="240" w:lineRule="auto"/>
        <w:ind w:left="114" w:right="-1"/>
        <w:jc w:val="both"/>
        <w:rPr>
          <w:rFonts w:ascii="Times New Roman" w:hAnsi="Times New Roman" w:cs="Times New Roman"/>
          <w:kern w:val="1"/>
          <w:sz w:val="20"/>
          <w:szCs w:val="20"/>
          <w:lang w:val="es-ES"/>
        </w:rPr>
      </w:pPr>
    </w:p>
    <w:p w14:paraId="3F1DDE79"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7EC98BA" w14:textId="77777777" w:rsidR="00D73CA0" w:rsidRDefault="00D73CA0" w:rsidP="00D73CA0">
      <w:pPr>
        <w:widowControl w:val="0"/>
        <w:autoSpaceDE w:val="0"/>
        <w:autoSpaceDN w:val="0"/>
        <w:adjustRightInd w:val="0"/>
        <w:spacing w:before="10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Inciso a) Los establecimientos privados que posean cámaras de video vigilancia tipo domo o de tecnología similar, que capten imágenes exclusivamente del espacio público, deben informarlo mediante un cartel indicativo cuyo diseño y dimensiones determina la Autoridad de Aplicación, donde deberá  constar  el  nombre del establecimiento privado propietario de la cámara y  un  teléfono  de  contacto,  acompañados  por la siguiente leyenda: “Espacio monitoreado por videocámaras de seguridad – Ley N°</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2.602”.</w:t>
      </w:r>
    </w:p>
    <w:p w14:paraId="4AAC106E"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kern w:val="1"/>
          <w:sz w:val="19"/>
          <w:szCs w:val="19"/>
          <w:lang w:val="es-ES"/>
        </w:rPr>
      </w:pPr>
    </w:p>
    <w:p w14:paraId="45FF255A" w14:textId="77777777" w:rsidR="00D73CA0" w:rsidRDefault="00D73CA0" w:rsidP="00D73CA0">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Inciso c) La Autoridad de Aplicación establece  la  modalidad  y  el  procedimiento mediante  el  cual  se  lleve a cabo la publicación y actualización, en el sitio web del Gobierno  de  la  Ciudad  Autónoma  de  Buenos Aires, de los puntos en los cuáles se instalen  videocámaras,  previendo  el  acceso  a  esa  información por parte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interesados.</w:t>
      </w:r>
    </w:p>
    <w:p w14:paraId="6848BBEB"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95E187D" w14:textId="77777777" w:rsidR="00D73CA0" w:rsidRDefault="00D73CA0" w:rsidP="00D73CA0">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u w:val="single"/>
          <w:lang w:val="es-ES"/>
        </w:rPr>
        <w:t>Artículo 18 bis</w:t>
      </w:r>
      <w:r>
        <w:rPr>
          <w:rFonts w:ascii="Trebuchet MS" w:hAnsi="Trebuchet MS" w:cs="Trebuchet MS"/>
          <w:kern w:val="1"/>
          <w:sz w:val="20"/>
          <w:szCs w:val="20"/>
          <w:lang w:val="es-ES"/>
        </w:rPr>
        <w:t>.- L a Autoridad de Aplicación establece el mecanismo de inscripción al “Registro de Cámaras de Video Vigilancia Privadas”, estableciendo el ámbito de su funcionamiento, acorde a las tecnologías y procedimientos apropiados 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ello.</w:t>
      </w:r>
    </w:p>
    <w:p w14:paraId="39DE3F63"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E3299D9" w14:textId="77777777" w:rsidR="00D73CA0" w:rsidRDefault="00D73CA0" w:rsidP="00D73CA0">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efectos de la presente reglamentación se entiende por establecimiento privado a los comercios, empresas, industrias, bancos, universidades, que  posean  cámaras  que  nuclean  a  cada  uno  de  los  rubros  existentes y todo otro que posea instaladas videocámaras con visualización exclusivamente del espacio público.</w:t>
      </w:r>
    </w:p>
    <w:p w14:paraId="1644EE5B" w14:textId="77777777" w:rsidR="00D73CA0" w:rsidRDefault="00D73CA0" w:rsidP="00D73CA0">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6D78C856" w14:textId="77777777" w:rsidR="00D73CA0" w:rsidRDefault="00D73CA0" w:rsidP="00D73CA0">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titulares o responsables de los establecimientos privados  deben  presentar  en  carácter  de  “Declaración Jurada de Videocámaras Privadas” un formulario que a tales efectos establece la Autoridad de Aplicación, con la siguiente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información:</w:t>
      </w:r>
    </w:p>
    <w:p w14:paraId="4DAA7CAF"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07E1FB7" w14:textId="77777777" w:rsidR="00D73CA0" w:rsidRDefault="00D73CA0" w:rsidP="00D73CA0">
      <w:pPr>
        <w:widowControl w:val="0"/>
        <w:numPr>
          <w:ilvl w:val="0"/>
          <w:numId w:val="12"/>
        </w:numPr>
        <w:tabs>
          <w:tab w:val="left" w:pos="834"/>
        </w:tabs>
        <w:autoSpaceDE w:val="0"/>
        <w:autoSpaceDN w:val="0"/>
        <w:adjustRightInd w:val="0"/>
        <w:spacing w:after="0" w:line="240" w:lineRule="auto"/>
        <w:ind w:left="833" w:right="-1"/>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Datos personales del titular o responsable del establecimiento privado, representante legal o apoderado: apellidos, nombres, DNI/ CI / LC / LE, CUIT / CUIL, teléfono, dirección de correo electrónico, cargo o función dentro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establecimiento.</w:t>
      </w:r>
    </w:p>
    <w:p w14:paraId="219376AA"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kern w:val="1"/>
          <w:sz w:val="19"/>
          <w:szCs w:val="19"/>
          <w:lang w:val="es-ES"/>
        </w:rPr>
      </w:pPr>
    </w:p>
    <w:p w14:paraId="313C20AA" w14:textId="77777777" w:rsidR="00D73CA0" w:rsidRDefault="00D73CA0" w:rsidP="00D73CA0">
      <w:pPr>
        <w:widowControl w:val="0"/>
        <w:numPr>
          <w:ilvl w:val="0"/>
          <w:numId w:val="13"/>
        </w:numPr>
        <w:tabs>
          <w:tab w:val="left" w:pos="834"/>
        </w:tabs>
        <w:autoSpaceDE w:val="0"/>
        <w:autoSpaceDN w:val="0"/>
        <w:adjustRightInd w:val="0"/>
        <w:spacing w:after="0" w:line="240" w:lineRule="auto"/>
        <w:ind w:left="834" w:right="-1" w:hanging="361"/>
        <w:jc w:val="both"/>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 xml:space="preserve">Datos del establecimiento privado a inscribir: razón social o  denominación, domicilio real  y/o  social, domicilio constituido, CUIT, teléfono, dirección de correo electrónico, rubro o actividad </w:t>
      </w:r>
      <w:r>
        <w:rPr>
          <w:rFonts w:ascii="Trebuchet MS" w:hAnsi="Trebuchet MS" w:cs="Trebuchet MS"/>
          <w:kern w:val="1"/>
          <w:sz w:val="20"/>
          <w:szCs w:val="20"/>
          <w:lang w:val="es-ES"/>
        </w:rPr>
        <w:lastRenderedPageBreak/>
        <w:t>principal.</w:t>
      </w:r>
    </w:p>
    <w:p w14:paraId="6ABDE97B"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2B2F7B7" w14:textId="77777777" w:rsidR="00D73CA0" w:rsidRDefault="00D73CA0" w:rsidP="00D73CA0">
      <w:pPr>
        <w:widowControl w:val="0"/>
        <w:numPr>
          <w:ilvl w:val="0"/>
          <w:numId w:val="14"/>
        </w:numPr>
        <w:tabs>
          <w:tab w:val="left" w:pos="834"/>
        </w:tabs>
        <w:autoSpaceDE w:val="0"/>
        <w:autoSpaceDN w:val="0"/>
        <w:adjustRightInd w:val="0"/>
        <w:spacing w:after="0" w:line="240" w:lineRule="auto"/>
        <w:ind w:left="834" w:right="-1"/>
        <w:jc w:val="both"/>
        <w:rPr>
          <w:rFonts w:ascii="Trebuchet MS" w:hAnsi="Trebuchet MS" w:cs="Trebuchet MS"/>
          <w:kern w:val="1"/>
          <w:sz w:val="20"/>
          <w:szCs w:val="20"/>
          <w:lang w:val="es-ES"/>
        </w:rPr>
      </w:pPr>
      <w:r>
        <w:rPr>
          <w:rFonts w:ascii="Trebuchet MS" w:hAnsi="Trebuchet MS" w:cs="Trebuchet MS"/>
          <w:kern w:val="1"/>
          <w:sz w:val="20"/>
          <w:szCs w:val="20"/>
          <w:lang w:val="es-ES"/>
        </w:rPr>
        <w:t>c)</w:t>
      </w:r>
      <w:r>
        <w:rPr>
          <w:rFonts w:ascii="Trebuchet MS" w:hAnsi="Trebuchet MS" w:cs="Trebuchet MS"/>
          <w:kern w:val="1"/>
          <w:sz w:val="20"/>
          <w:szCs w:val="20"/>
          <w:lang w:val="es-ES"/>
        </w:rPr>
        <w:tab/>
        <w:t>Nombre o identificación de la cámara, objetivo de visualización, ubicación exacta de cada videocámara (con referencia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catastral).</w:t>
      </w:r>
    </w:p>
    <w:p w14:paraId="76D5EDC3" w14:textId="77777777" w:rsidR="00D73CA0" w:rsidRDefault="00D73CA0" w:rsidP="00D73CA0">
      <w:pPr>
        <w:widowControl w:val="0"/>
        <w:autoSpaceDE w:val="0"/>
        <w:autoSpaceDN w:val="0"/>
        <w:adjustRightInd w:val="0"/>
        <w:spacing w:before="11" w:after="0" w:line="240" w:lineRule="auto"/>
        <w:ind w:right="-1"/>
        <w:jc w:val="both"/>
        <w:rPr>
          <w:rFonts w:ascii="Times New Roman" w:hAnsi="Times New Roman" w:cs="Times New Roman"/>
          <w:kern w:val="1"/>
          <w:sz w:val="19"/>
          <w:szCs w:val="19"/>
          <w:lang w:val="es-ES"/>
        </w:rPr>
      </w:pPr>
    </w:p>
    <w:p w14:paraId="080F3A38" w14:textId="77777777" w:rsidR="00D73CA0" w:rsidRDefault="00D73CA0" w:rsidP="00D73CA0">
      <w:pPr>
        <w:widowControl w:val="0"/>
        <w:numPr>
          <w:ilvl w:val="0"/>
          <w:numId w:val="15"/>
        </w:numPr>
        <w:tabs>
          <w:tab w:val="left" w:pos="835"/>
        </w:tabs>
        <w:autoSpaceDE w:val="0"/>
        <w:autoSpaceDN w:val="0"/>
        <w:adjustRightInd w:val="0"/>
        <w:spacing w:after="0" w:line="240" w:lineRule="auto"/>
        <w:ind w:left="834" w:right="-1" w:hanging="361"/>
        <w:jc w:val="both"/>
        <w:rPr>
          <w:rFonts w:ascii="Trebuchet MS" w:hAnsi="Trebuchet MS" w:cs="Trebuchet MS"/>
          <w:kern w:val="1"/>
          <w:sz w:val="20"/>
          <w:szCs w:val="20"/>
          <w:lang w:val="es-ES"/>
        </w:rPr>
      </w:pPr>
      <w:r>
        <w:rPr>
          <w:rFonts w:ascii="Trebuchet MS" w:hAnsi="Trebuchet MS" w:cs="Trebuchet MS"/>
          <w:kern w:val="1"/>
          <w:sz w:val="20"/>
          <w:szCs w:val="20"/>
          <w:lang w:val="es-ES"/>
        </w:rPr>
        <w:t>d)</w:t>
      </w:r>
      <w:r>
        <w:rPr>
          <w:rFonts w:ascii="Trebuchet MS" w:hAnsi="Trebuchet MS" w:cs="Trebuchet MS"/>
          <w:kern w:val="1"/>
          <w:sz w:val="20"/>
          <w:szCs w:val="20"/>
          <w:lang w:val="es-ES"/>
        </w:rPr>
        <w:tab/>
        <w:t>d) Condiciones técnicas: tipo de videocámara (marca y modelo), modo de almacenamiento de imágenes (marca  y  modelo  del  soporte  de almacenamiento),  orientación  de  la visualización hacia  el  espacio  público (referencia de calles transversales), imagen capturada por cada cámara  (en caso  de  ser  domo  deberán  ser  tres  imágenes,  visualización  frente, lateral izquierdo y  lateral derecho), monitoreo remoto de imágenes por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Internet.</w:t>
      </w:r>
    </w:p>
    <w:p w14:paraId="4B392ADE" w14:textId="77777777" w:rsidR="00D73CA0" w:rsidRDefault="00D73CA0" w:rsidP="00D73CA0">
      <w:pPr>
        <w:widowControl w:val="0"/>
        <w:autoSpaceDE w:val="0"/>
        <w:autoSpaceDN w:val="0"/>
        <w:adjustRightInd w:val="0"/>
        <w:spacing w:before="2" w:after="0" w:line="240" w:lineRule="auto"/>
        <w:ind w:right="-1"/>
        <w:jc w:val="both"/>
        <w:rPr>
          <w:rFonts w:ascii="Times New Roman" w:hAnsi="Times New Roman" w:cs="Times New Roman"/>
          <w:kern w:val="1"/>
          <w:sz w:val="20"/>
          <w:szCs w:val="20"/>
          <w:lang w:val="es-ES"/>
        </w:rPr>
      </w:pPr>
    </w:p>
    <w:p w14:paraId="6B2E6D26" w14:textId="77777777" w:rsidR="00D73CA0" w:rsidRDefault="00D73CA0" w:rsidP="00D73CA0">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F1E3739" w14:textId="77777777" w:rsidR="00D73CA0" w:rsidRDefault="00D73CA0" w:rsidP="00D73CA0">
      <w:pPr>
        <w:widowControl w:val="0"/>
        <w:autoSpaceDE w:val="0"/>
        <w:autoSpaceDN w:val="0"/>
        <w:adjustRightInd w:val="0"/>
        <w:spacing w:before="2" w:after="0" w:line="240" w:lineRule="auto"/>
        <w:ind w:right="-1"/>
        <w:jc w:val="both"/>
        <w:rPr>
          <w:rFonts w:ascii="Times New Roman" w:hAnsi="Times New Roman" w:cs="Times New Roman"/>
          <w:kern w:val="1"/>
          <w:sz w:val="19"/>
          <w:szCs w:val="19"/>
          <w:lang w:val="es-ES"/>
        </w:rPr>
      </w:pPr>
    </w:p>
    <w:p w14:paraId="75397F9D" w14:textId="77777777" w:rsidR="00D73CA0" w:rsidRDefault="00D73CA0" w:rsidP="00D73CA0">
      <w:pPr>
        <w:widowControl w:val="0"/>
        <w:autoSpaceDE w:val="0"/>
        <w:autoSpaceDN w:val="0"/>
        <w:adjustRightInd w:val="0"/>
        <w:spacing w:before="100"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la Autoridad  de  Aplicación  constate  el incumplimiento de las obligaciones previstas  en  la  presente normativa, debe comunicar tal situación a  la  Agencia Gubernamental  de  Control  u  organismo que en el futuro la reemplace, a los fines previstos por la Ley 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451.</w:t>
      </w:r>
    </w:p>
    <w:p w14:paraId="6CDB0543" w14:textId="39F7095A" w:rsidR="00592F1B" w:rsidRPr="00AC3BA6" w:rsidRDefault="00592F1B" w:rsidP="00D73CA0">
      <w:pPr>
        <w:ind w:right="-1"/>
        <w:jc w:val="both"/>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0"/>
  </w:num>
  <w:num w:numId="3">
    <w:abstractNumId w:val="7"/>
  </w:num>
  <w:num w:numId="4">
    <w:abstractNumId w:val="8"/>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9"/>
  </w:num>
  <w:num w:numId="11">
    <w:abstractNumId w:val="6"/>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B7840"/>
    <w:rsid w:val="00484AE6"/>
    <w:rsid w:val="005028E3"/>
    <w:rsid w:val="00592F1B"/>
    <w:rsid w:val="006D1685"/>
    <w:rsid w:val="007906D4"/>
    <w:rsid w:val="00905D9F"/>
    <w:rsid w:val="00AC3BA6"/>
    <w:rsid w:val="00B21F6A"/>
    <w:rsid w:val="00B64518"/>
    <w:rsid w:val="00B6751E"/>
    <w:rsid w:val="00B91930"/>
    <w:rsid w:val="00D73CA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0B784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0B7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5624</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2021-05-12T12:51:00Z</dcterms:created>
  <dcterms:modified xsi:type="dcterms:W3CDTF">2021-05-12T13:05:00Z</dcterms:modified>
</cp:coreProperties>
</file>