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8708" w14:textId="77777777" w:rsidR="00F75B5C" w:rsidRDefault="00F75B5C" w:rsidP="00F75B5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3C224DC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0" w:lineRule="exact"/>
        <w:ind w:left="100"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A0CD593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96A5773" w14:textId="77777777" w:rsidR="00F75B5C" w:rsidRDefault="00F75B5C" w:rsidP="00F75B5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FA99198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left="284"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CAUSA DE SEPARACION DE ALUMNOS DE UN ESTABLECIMIENTO DURANTE EL CURSO LECTIVO</w:t>
      </w:r>
    </w:p>
    <w:p w14:paraId="3743649D" w14:textId="77777777" w:rsidR="00F75B5C" w:rsidRDefault="00F75B5C" w:rsidP="00F75B5C">
      <w:pPr>
        <w:widowControl w:val="0"/>
        <w:autoSpaceDE w:val="0"/>
        <w:autoSpaceDN w:val="0"/>
        <w:adjustRightInd w:val="0"/>
        <w:spacing w:before="3" w:after="0" w:line="240" w:lineRule="auto"/>
        <w:ind w:left="284" w:right="-1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F77A032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355" w:lineRule="auto"/>
        <w:ind w:left="284" w:right="-1" w:firstLine="855"/>
        <w:rPr>
          <w:rFonts w:ascii="Arial" w:hAnsi="Arial" w:cs="Arial"/>
          <w:b/>
          <w:bCs/>
          <w:sz w:val="19"/>
          <w:szCs w:val="19"/>
          <w:lang w:val="es-ES"/>
        </w:rPr>
      </w:pPr>
      <w:r>
        <w:rPr>
          <w:rFonts w:ascii="Arial" w:hAnsi="Arial" w:cs="Arial"/>
          <w:b/>
          <w:bCs/>
          <w:sz w:val="19"/>
          <w:szCs w:val="19"/>
          <w:lang w:val="es-ES"/>
        </w:rPr>
        <w:t>PROVINCIA DE BUENOS AIRES DIRECCION GENERAL DE ESCUELAS Y CULTURA</w:t>
      </w:r>
    </w:p>
    <w:p w14:paraId="1B496ABE" w14:textId="77777777" w:rsidR="00F75B5C" w:rsidRDefault="00F75B5C" w:rsidP="00F75B5C">
      <w:pPr>
        <w:widowControl w:val="0"/>
        <w:autoSpaceDE w:val="0"/>
        <w:autoSpaceDN w:val="0"/>
        <w:adjustRightInd w:val="0"/>
        <w:spacing w:before="2" w:after="0" w:line="240" w:lineRule="auto"/>
        <w:ind w:left="284" w:right="-1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14:paraId="6A90C6EC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  <w:r>
        <w:rPr>
          <w:rFonts w:ascii="Arial" w:hAnsi="Arial" w:cs="Arial"/>
          <w:b/>
          <w:bCs/>
          <w:sz w:val="19"/>
          <w:szCs w:val="19"/>
          <w:lang w:val="es-ES"/>
        </w:rPr>
        <w:t>DISPOSICIÓN Nº 1 / 93</w:t>
      </w:r>
    </w:p>
    <w:p w14:paraId="4F2C4C03" w14:textId="77777777" w:rsidR="00F75B5C" w:rsidRDefault="00F75B5C" w:rsidP="00F75B5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  <w:bookmarkStart w:id="0" w:name="_GoBack"/>
      <w:bookmarkEnd w:id="0"/>
    </w:p>
    <w:p w14:paraId="716CE7BA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left="106" w:right="-1" w:firstLine="6573"/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sz w:val="19"/>
          <w:szCs w:val="19"/>
          <w:lang w:val="es-ES"/>
        </w:rPr>
        <w:t>La Plata, 15 de Febrero de 1993.</w:t>
      </w:r>
    </w:p>
    <w:p w14:paraId="7A02C633" w14:textId="77777777" w:rsidR="00F75B5C" w:rsidRDefault="00F75B5C" w:rsidP="00F75B5C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77A87A4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left="106" w:right="-1"/>
        <w:jc w:val="both"/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b/>
          <w:bCs/>
          <w:sz w:val="19"/>
          <w:szCs w:val="19"/>
          <w:lang w:val="es-ES"/>
        </w:rPr>
        <w:t xml:space="preserve">VISTO </w:t>
      </w:r>
      <w:r>
        <w:rPr>
          <w:rFonts w:ascii="Arial" w:hAnsi="Arial" w:cs="Arial"/>
          <w:sz w:val="19"/>
          <w:szCs w:val="19"/>
          <w:lang w:val="es-ES"/>
        </w:rPr>
        <w:t>la necesidad de reglamentar la situación de los alumnos que fueron excluidos de un establecimiento educativo de gestión privada con posterioridad a su matriculación; y</w:t>
      </w:r>
    </w:p>
    <w:p w14:paraId="12B274D3" w14:textId="77777777" w:rsidR="00F75B5C" w:rsidRDefault="00F75B5C" w:rsidP="00F75B5C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633878C0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Arial" w:hAnsi="Arial" w:cs="Arial"/>
          <w:b/>
          <w:bCs/>
          <w:sz w:val="19"/>
          <w:szCs w:val="19"/>
          <w:lang w:val="es-ES"/>
        </w:rPr>
      </w:pPr>
      <w:r>
        <w:rPr>
          <w:rFonts w:ascii="Arial" w:hAnsi="Arial" w:cs="Arial"/>
          <w:b/>
          <w:bCs/>
          <w:sz w:val="19"/>
          <w:szCs w:val="19"/>
          <w:lang w:val="es-ES"/>
        </w:rPr>
        <w:t>CONSIDERANDO:</w:t>
      </w:r>
    </w:p>
    <w:p w14:paraId="087D3D23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14:paraId="479F23F5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sz w:val="19"/>
          <w:szCs w:val="19"/>
          <w:lang w:val="es-ES"/>
        </w:rPr>
        <w:t>Que la convención particular, de carácter anual, realizada a través de la matriculación crea entre los propietarios de los colegios y los padres y/o representantes de los menores una relación de derechos adquiridos para ambas partes;</w:t>
      </w:r>
    </w:p>
    <w:p w14:paraId="3F334958" w14:textId="77777777" w:rsidR="00F75B5C" w:rsidRDefault="00F75B5C" w:rsidP="00F75B5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2D91788E" w14:textId="77777777" w:rsidR="00F75B5C" w:rsidRDefault="00F75B5C" w:rsidP="00F75B5C">
      <w:pPr>
        <w:widowControl w:val="0"/>
        <w:autoSpaceDE w:val="0"/>
        <w:autoSpaceDN w:val="0"/>
        <w:adjustRightInd w:val="0"/>
        <w:spacing w:before="1" w:after="0" w:line="237" w:lineRule="auto"/>
        <w:ind w:left="106"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Arial" w:hAnsi="Arial" w:cs="Arial"/>
          <w:sz w:val="19"/>
          <w:szCs w:val="19"/>
          <w:lang w:val="es-ES"/>
        </w:rPr>
        <w:t>Que nace para el colegio el derecho de hacer respetar sus normas internas de funcionamiento y su estilo de trabajo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que,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fue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comunicado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a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los</w:t>
      </w:r>
      <w:r>
        <w:rPr>
          <w:rFonts w:ascii="Arial" w:hAnsi="Arial" w:cs="Arial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padres</w:t>
      </w:r>
      <w:r>
        <w:rPr>
          <w:rFonts w:ascii="Arial" w:hAnsi="Arial" w:cs="Arial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al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momento</w:t>
      </w:r>
      <w:r>
        <w:rPr>
          <w:rFonts w:ascii="Arial" w:hAnsi="Arial" w:cs="Arial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de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realizarse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la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matriculación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del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alumno;</w:t>
      </w:r>
    </w:p>
    <w:p w14:paraId="40CAB348" w14:textId="77777777" w:rsidR="00F75B5C" w:rsidRDefault="00F75B5C" w:rsidP="00F75B5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B4CA6E0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Arial" w:hAnsi="Arial" w:cs="Arial"/>
          <w:kern w:val="1"/>
          <w:sz w:val="19"/>
          <w:szCs w:val="19"/>
          <w:lang w:val="es-ES"/>
        </w:rPr>
        <w:t>Que nace para el alumno el derecho a recibir enseñanza no pudiendo ser separado del establecimiento educativo durante el ciclo lectivo, excepto que sobrevengan causas graves de indisciplina, previa implementación</w:t>
      </w:r>
      <w:r>
        <w:rPr>
          <w:rFonts w:ascii="Arial" w:hAnsi="Arial" w:cs="Arial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de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los</w:t>
      </w:r>
      <w:r>
        <w:rPr>
          <w:rFonts w:ascii="Arial" w:hAnsi="Arial" w:cs="Arial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procedimientos</w:t>
      </w:r>
      <w:r>
        <w:rPr>
          <w:rFonts w:ascii="Arial" w:hAnsi="Arial" w:cs="Arial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instituidos</w:t>
      </w:r>
      <w:r>
        <w:rPr>
          <w:rFonts w:ascii="Arial" w:hAnsi="Arial" w:cs="Arial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para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cada</w:t>
      </w:r>
      <w:r>
        <w:rPr>
          <w:rFonts w:ascii="Arial" w:hAnsi="Arial" w:cs="Arial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nivel</w:t>
      </w:r>
      <w:r>
        <w:rPr>
          <w:rFonts w:ascii="Arial" w:hAnsi="Arial" w:cs="Arial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o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modalidad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de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la</w:t>
      </w:r>
      <w:r>
        <w:rPr>
          <w:rFonts w:ascii="Arial" w:hAnsi="Arial" w:cs="Arial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Arial" w:hAnsi="Arial" w:cs="Arial"/>
          <w:kern w:val="1"/>
          <w:sz w:val="19"/>
          <w:szCs w:val="19"/>
          <w:lang w:val="es-ES"/>
        </w:rPr>
        <w:t>enseñanza;</w:t>
      </w:r>
    </w:p>
    <w:p w14:paraId="06AAB16D" w14:textId="77777777" w:rsidR="00F75B5C" w:rsidRDefault="00F75B5C" w:rsidP="00F75B5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D65521A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left="106"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Arial" w:hAnsi="Arial" w:cs="Arial"/>
          <w:kern w:val="1"/>
          <w:sz w:val="19"/>
          <w:szCs w:val="19"/>
          <w:lang w:val="es-ES"/>
        </w:rPr>
        <w:t>Que todos los derechos deben ser ejercidos "regularmente" esto es, sin contrariar los fines que justifican su existencia o más, llanamente, de modo que no sean abusivos (art. 1071 del Código Civil);</w:t>
      </w:r>
    </w:p>
    <w:p w14:paraId="130B8F6E" w14:textId="77777777" w:rsidR="00F75B5C" w:rsidRDefault="00F75B5C" w:rsidP="00F75B5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D8A3C96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Arial" w:hAnsi="Arial" w:cs="Arial"/>
          <w:kern w:val="1"/>
          <w:sz w:val="19"/>
          <w:szCs w:val="19"/>
          <w:lang w:val="es-ES"/>
        </w:rPr>
        <w:t>Que debe descartarse por irrazonable que en cualquier oportunidad el colegio pueda ejercer su derecho de admisión;</w:t>
      </w:r>
    </w:p>
    <w:p w14:paraId="7B432739" w14:textId="77777777" w:rsidR="00F75B5C" w:rsidRDefault="00F75B5C" w:rsidP="00F75B5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A44A2A7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left="106"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Arial" w:hAnsi="Arial" w:cs="Arial"/>
          <w:kern w:val="1"/>
          <w:sz w:val="19"/>
          <w:szCs w:val="19"/>
          <w:lang w:val="es-ES"/>
        </w:rPr>
        <w:t>Por ello, y de conformidad con lo establecido por el artículo 1º inciso e) del Decreto 982/77, reglamentario del Decreto-Ley 8727/77 y sus modificatorias;</w:t>
      </w:r>
    </w:p>
    <w:p w14:paraId="1620BEB5" w14:textId="77777777" w:rsidR="00F75B5C" w:rsidRDefault="00F75B5C" w:rsidP="00F75B5C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140D7A9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355" w:lineRule="auto"/>
        <w:ind w:left="2767" w:right="-1"/>
        <w:jc w:val="center"/>
        <w:rPr>
          <w:rFonts w:ascii="Arial" w:hAnsi="Arial" w:cs="Arial"/>
          <w:b/>
          <w:bCs/>
          <w:kern w:val="1"/>
          <w:sz w:val="19"/>
          <w:szCs w:val="19"/>
          <w:lang w:val="es-ES"/>
        </w:rPr>
      </w:pPr>
      <w:r>
        <w:rPr>
          <w:rFonts w:ascii="Arial" w:hAnsi="Arial" w:cs="Arial"/>
          <w:b/>
          <w:bCs/>
          <w:kern w:val="1"/>
          <w:sz w:val="19"/>
          <w:szCs w:val="19"/>
          <w:lang w:val="es-ES"/>
        </w:rPr>
        <w:t>EL DIRECTOR DE ENSEÑANZA NO OFICIAL DISPONE:</w:t>
      </w:r>
    </w:p>
    <w:p w14:paraId="2F9E20D3" w14:textId="77777777" w:rsidR="00F75B5C" w:rsidRDefault="00F75B5C" w:rsidP="00F75B5C">
      <w:pPr>
        <w:widowControl w:val="0"/>
        <w:autoSpaceDE w:val="0"/>
        <w:autoSpaceDN w:val="0"/>
        <w:adjustRightInd w:val="0"/>
        <w:spacing w:before="4" w:after="0" w:line="237" w:lineRule="auto"/>
        <w:ind w:left="106"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Arial" w:hAnsi="Arial" w:cs="Arial"/>
          <w:b/>
          <w:bCs/>
          <w:kern w:val="1"/>
          <w:sz w:val="19"/>
          <w:szCs w:val="19"/>
          <w:lang w:val="es-ES"/>
        </w:rPr>
        <w:t xml:space="preserve">Artículo 1º: </w:t>
      </w:r>
      <w:r>
        <w:rPr>
          <w:rFonts w:ascii="Arial" w:hAnsi="Arial" w:cs="Arial"/>
          <w:kern w:val="1"/>
          <w:sz w:val="19"/>
          <w:szCs w:val="19"/>
          <w:lang w:val="es-ES"/>
        </w:rPr>
        <w:t>Establecer que los alumnos, una vez matriculados, en establecimientos educativos de gestión privada comprendidos en el régimen del Decreto-Ley 8727/77, no podrán ser separados del servicio educativo durante el ciclo lectivo que estén cursando, excepto por grave inconducta imputable a los mismos. En este caso deberán implementarse previamente los procedimientos que rigen en cada nivel y/o modalidad de la enseñanza.</w:t>
      </w:r>
    </w:p>
    <w:p w14:paraId="605DFB7E" w14:textId="77777777" w:rsidR="00F75B5C" w:rsidRDefault="00F75B5C" w:rsidP="00F75B5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0860900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240" w:lineRule="auto"/>
        <w:ind w:left="106"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Arial" w:hAnsi="Arial" w:cs="Arial"/>
          <w:b/>
          <w:bCs/>
          <w:kern w:val="1"/>
          <w:sz w:val="19"/>
          <w:szCs w:val="19"/>
          <w:lang w:val="es-ES"/>
        </w:rPr>
        <w:t xml:space="preserve">Artículo 2º: </w:t>
      </w:r>
      <w:r>
        <w:rPr>
          <w:rFonts w:ascii="Arial" w:hAnsi="Arial" w:cs="Arial"/>
          <w:kern w:val="1"/>
          <w:sz w:val="19"/>
          <w:szCs w:val="19"/>
          <w:lang w:val="es-ES"/>
        </w:rPr>
        <w:t xml:space="preserve">Determinar que en caso de que los servicios educativos no cumplieran con lo </w:t>
      </w:r>
      <w:proofErr w:type="spellStart"/>
      <w:r>
        <w:rPr>
          <w:rFonts w:ascii="Arial" w:hAnsi="Arial" w:cs="Arial"/>
          <w:kern w:val="1"/>
          <w:sz w:val="19"/>
          <w:szCs w:val="19"/>
          <w:lang w:val="es-ES"/>
        </w:rPr>
        <w:t>normatizado</w:t>
      </w:r>
      <w:proofErr w:type="spellEnd"/>
      <w:r>
        <w:rPr>
          <w:rFonts w:ascii="Arial" w:hAnsi="Arial" w:cs="Arial"/>
          <w:kern w:val="1"/>
          <w:sz w:val="19"/>
          <w:szCs w:val="19"/>
          <w:lang w:val="es-ES"/>
        </w:rPr>
        <w:t xml:space="preserve"> en el artículo 1º del presente acto administrativo, serán pasibles de las sanciones previstas en el Decreto-Ley 8727/77 y sus modificatorias, Decreto 982/77 y normas complementarias vigentes.</w:t>
      </w:r>
    </w:p>
    <w:p w14:paraId="0113F64F" w14:textId="77777777" w:rsidR="00F75B5C" w:rsidRDefault="00F75B5C" w:rsidP="00F75B5C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5DCD5BD" w14:textId="77777777" w:rsidR="00F75B5C" w:rsidRDefault="00F75B5C" w:rsidP="00F75B5C">
      <w:pPr>
        <w:widowControl w:val="0"/>
        <w:autoSpaceDE w:val="0"/>
        <w:autoSpaceDN w:val="0"/>
        <w:adjustRightInd w:val="0"/>
        <w:spacing w:before="1" w:after="0" w:line="237" w:lineRule="auto"/>
        <w:ind w:left="106" w:right="-1"/>
        <w:jc w:val="both"/>
        <w:rPr>
          <w:rFonts w:ascii="Arial" w:hAnsi="Arial" w:cs="Arial"/>
          <w:kern w:val="1"/>
          <w:sz w:val="19"/>
          <w:szCs w:val="19"/>
          <w:lang w:val="es-ES"/>
        </w:rPr>
      </w:pPr>
      <w:r>
        <w:rPr>
          <w:rFonts w:ascii="Arial" w:hAnsi="Arial" w:cs="Arial"/>
          <w:b/>
          <w:bCs/>
          <w:kern w:val="1"/>
          <w:sz w:val="19"/>
          <w:szCs w:val="19"/>
          <w:lang w:val="es-ES"/>
        </w:rPr>
        <w:t xml:space="preserve">Artículo 3º: </w:t>
      </w:r>
      <w:r>
        <w:rPr>
          <w:rFonts w:ascii="Arial" w:hAnsi="Arial" w:cs="Arial"/>
          <w:kern w:val="1"/>
          <w:sz w:val="19"/>
          <w:szCs w:val="19"/>
          <w:lang w:val="es-ES"/>
        </w:rPr>
        <w:t>Registrar esta Disposición. Comunicarla a todas las Coordinaciones de Ex Jefatura de Región y por su intermedio a quienes corresponda. Cumplido, reservar en esta Dirección.</w:t>
      </w:r>
    </w:p>
    <w:p w14:paraId="3400B7D6" w14:textId="77777777" w:rsidR="00F75B5C" w:rsidRDefault="00F75B5C" w:rsidP="00F75B5C">
      <w:pPr>
        <w:widowControl w:val="0"/>
        <w:autoSpaceDE w:val="0"/>
        <w:autoSpaceDN w:val="0"/>
        <w:adjustRightInd w:val="0"/>
        <w:spacing w:after="0" w:line="168" w:lineRule="exact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GUILLERMO EDUARDO</w:t>
      </w:r>
      <w:r>
        <w:rPr>
          <w:rFonts w:ascii="Trebuchet MS" w:hAnsi="Trebuchet MS" w:cs="Trebuchet MS"/>
          <w:spacing w:val="-8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BALOIRA</w:t>
      </w:r>
    </w:p>
    <w:p w14:paraId="1A995BA5" w14:textId="77777777" w:rsidR="00F75B5C" w:rsidRDefault="00F75B5C" w:rsidP="00F75B5C">
      <w:pPr>
        <w:widowControl w:val="0"/>
        <w:autoSpaceDE w:val="0"/>
        <w:autoSpaceDN w:val="0"/>
        <w:adjustRightInd w:val="0"/>
        <w:spacing w:before="1" w:after="0" w:line="240" w:lineRule="auto"/>
        <w:ind w:left="6943" w:right="-1" w:firstLine="1948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Director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Dirección de Enseñanza</w:t>
      </w:r>
      <w:r>
        <w:rPr>
          <w:rFonts w:ascii="Trebuchet MS" w:hAnsi="Trebuchet MS" w:cs="Trebuchet MS"/>
          <w:spacing w:val="-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No Oficial Dirección Gral. de Escuelas y</w:t>
      </w:r>
      <w:r>
        <w:rPr>
          <w:rFonts w:ascii="Trebuchet MS" w:hAnsi="Trebuchet MS" w:cs="Trebuchet MS"/>
          <w:spacing w:val="-4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Cultura</w:t>
      </w:r>
    </w:p>
    <w:p w14:paraId="085D86B0" w14:textId="77777777" w:rsidR="00F75B5C" w:rsidRDefault="00F75B5C" w:rsidP="00F75B5C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6CDB0543" w14:textId="39F7095A" w:rsidR="00592F1B" w:rsidRPr="00AC3BA6" w:rsidRDefault="00592F1B" w:rsidP="00F75B5C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75B5C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2256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2021-05-10T19:15:00Z</dcterms:created>
  <dcterms:modified xsi:type="dcterms:W3CDTF">2021-05-10T19:15:00Z</dcterms:modified>
</cp:coreProperties>
</file>