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15784" w14:textId="77777777" w:rsidR="009E2A46" w:rsidRDefault="009E2A46" w:rsidP="009E2A46">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0CA730E2" w14:textId="77777777" w:rsidR="009E2A46" w:rsidRDefault="009E2A46" w:rsidP="009E2A46">
      <w:pPr>
        <w:widowControl w:val="0"/>
        <w:autoSpaceDE w:val="0"/>
        <w:autoSpaceDN w:val="0"/>
        <w:adjustRightInd w:val="0"/>
        <w:spacing w:after="0" w:line="20" w:lineRule="exact"/>
        <w:ind w:left="100" w:right="-1"/>
        <w:rPr>
          <w:rFonts w:ascii="Times New Roman" w:hAnsi="Times New Roman" w:cs="Times New Roman"/>
          <w:sz w:val="2"/>
          <w:szCs w:val="2"/>
          <w:lang w:val="es-ES"/>
        </w:rPr>
      </w:pPr>
    </w:p>
    <w:p w14:paraId="050AFDFC" w14:textId="77777777" w:rsidR="009E2A46" w:rsidRDefault="009E2A46" w:rsidP="009E2A4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1BE62A6" w14:textId="77777777" w:rsidR="009E2A46" w:rsidRDefault="009E2A46" w:rsidP="009E2A46">
      <w:pPr>
        <w:widowControl w:val="0"/>
        <w:autoSpaceDE w:val="0"/>
        <w:autoSpaceDN w:val="0"/>
        <w:adjustRightInd w:val="0"/>
        <w:spacing w:before="9" w:after="0" w:line="240" w:lineRule="auto"/>
        <w:ind w:right="-1"/>
        <w:rPr>
          <w:rFonts w:ascii="Times New Roman" w:hAnsi="Times New Roman" w:cs="Times New Roman"/>
          <w:sz w:val="19"/>
          <w:szCs w:val="19"/>
          <w:lang w:val="es-ES"/>
        </w:rPr>
      </w:pPr>
    </w:p>
    <w:p w14:paraId="4FDB3353" w14:textId="77777777" w:rsidR="009E2A46" w:rsidRDefault="009E2A46" w:rsidP="009E2A46">
      <w:pPr>
        <w:widowControl w:val="0"/>
        <w:autoSpaceDE w:val="0"/>
        <w:autoSpaceDN w:val="0"/>
        <w:adjustRightInd w:val="0"/>
        <w:spacing w:before="100" w:after="0" w:line="237" w:lineRule="auto"/>
        <w:ind w:left="284"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EL</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PERSONAL</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DICTA</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ASIGNATURAS</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EXTRACURRICULARES,</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DEBERÁ</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CONTAR</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CON</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CERTIFICADO</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 APTITUD</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PSICOFÍSICA</w:t>
      </w:r>
    </w:p>
    <w:p w14:paraId="274CD9C3" w14:textId="77777777" w:rsidR="009E2A46" w:rsidRDefault="009E2A46" w:rsidP="009E2A46">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4A4AC2D0" w14:textId="77777777" w:rsidR="009E2A46" w:rsidRDefault="009E2A46" w:rsidP="009E2A46">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PROVINCIA DE BUENOS AIRES PODER EJECUTIVO</w:t>
      </w:r>
    </w:p>
    <w:p w14:paraId="31208F83" w14:textId="77777777" w:rsidR="009E2A46" w:rsidRDefault="009E2A46" w:rsidP="009E2A46">
      <w:pPr>
        <w:widowControl w:val="0"/>
        <w:autoSpaceDE w:val="0"/>
        <w:autoSpaceDN w:val="0"/>
        <w:adjustRightInd w:val="0"/>
        <w:spacing w:before="3"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DIRECCIÓN GENERAL DE CULTURA Y EDUCACIÓN DIRECCIÓN DE EDUCACIÓN DE GESTIÓN PRIVADA</w:t>
      </w:r>
    </w:p>
    <w:p w14:paraId="492E6849" w14:textId="77777777" w:rsidR="009E2A46" w:rsidRDefault="009E2A46" w:rsidP="009E2A46">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14638E3E" w14:textId="77777777" w:rsidR="009E2A46" w:rsidRDefault="009E2A46" w:rsidP="009E2A46">
      <w:pPr>
        <w:widowControl w:val="0"/>
        <w:autoSpaceDE w:val="0"/>
        <w:autoSpaceDN w:val="0"/>
        <w:adjustRightInd w:val="0"/>
        <w:spacing w:after="0" w:line="240" w:lineRule="auto"/>
        <w:ind w:left="408"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DISPOSICIÓN Nº 165/05</w:t>
      </w:r>
    </w:p>
    <w:p w14:paraId="4A548C35" w14:textId="77777777" w:rsidR="009E2A46" w:rsidRDefault="009E2A46" w:rsidP="009E2A46">
      <w:pPr>
        <w:widowControl w:val="0"/>
        <w:autoSpaceDE w:val="0"/>
        <w:autoSpaceDN w:val="0"/>
        <w:adjustRightInd w:val="0"/>
        <w:spacing w:after="0" w:line="240" w:lineRule="auto"/>
        <w:ind w:right="-1"/>
        <w:rPr>
          <w:rFonts w:ascii="Times New Roman" w:hAnsi="Times New Roman" w:cs="Times New Roman"/>
          <w:b/>
          <w:bCs/>
          <w:kern w:val="1"/>
          <w:lang w:val="es-ES"/>
        </w:rPr>
      </w:pPr>
    </w:p>
    <w:p w14:paraId="2893A320" w14:textId="77777777" w:rsidR="009E2A46" w:rsidRDefault="009E2A46" w:rsidP="009E2A46">
      <w:pPr>
        <w:widowControl w:val="0"/>
        <w:autoSpaceDE w:val="0"/>
        <w:autoSpaceDN w:val="0"/>
        <w:adjustRightInd w:val="0"/>
        <w:spacing w:before="179" w:after="0" w:line="240" w:lineRule="auto"/>
        <w:ind w:left="106" w:right="-1" w:firstLine="6907"/>
        <w:rPr>
          <w:rFonts w:ascii="Trebuchet MS" w:hAnsi="Trebuchet MS" w:cs="Trebuchet MS"/>
          <w:kern w:val="1"/>
          <w:sz w:val="19"/>
          <w:szCs w:val="19"/>
          <w:lang w:val="es-ES"/>
        </w:rPr>
      </w:pPr>
      <w:r>
        <w:rPr>
          <w:rFonts w:ascii="Trebuchet MS" w:hAnsi="Trebuchet MS" w:cs="Trebuchet MS"/>
          <w:kern w:val="1"/>
          <w:sz w:val="19"/>
          <w:szCs w:val="19"/>
          <w:lang w:val="es-ES"/>
        </w:rPr>
        <w:t>La Plata, 25 de abril de 2005</w:t>
      </w:r>
    </w:p>
    <w:p w14:paraId="42E5BC3F" w14:textId="77777777" w:rsidR="009E2A46" w:rsidRDefault="009E2A46" w:rsidP="009E2A4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2738A84" w14:textId="77777777" w:rsidR="009E2A46" w:rsidRDefault="009E2A46" w:rsidP="009E2A46">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VISTO las situaciones conflictivas acaecidas en horarios de materias extracurriculares que se atendieron en reiteradas consultas en esta Dirección; y</w:t>
      </w:r>
    </w:p>
    <w:p w14:paraId="2595A453" w14:textId="77777777" w:rsidR="009E2A46" w:rsidRDefault="009E2A46" w:rsidP="009E2A4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8CDCABC" w14:textId="77777777" w:rsidR="009E2A46" w:rsidRDefault="009E2A46" w:rsidP="009E2A46">
      <w:pPr>
        <w:widowControl w:val="0"/>
        <w:autoSpaceDE w:val="0"/>
        <w:autoSpaceDN w:val="0"/>
        <w:adjustRightInd w:val="0"/>
        <w:spacing w:after="0" w:line="240" w:lineRule="auto"/>
        <w:ind w:left="106" w:right="-1"/>
        <w:rPr>
          <w:rFonts w:ascii="Trebuchet MS" w:hAnsi="Trebuchet MS" w:cs="Trebuchet MS"/>
          <w:kern w:val="1"/>
          <w:sz w:val="19"/>
          <w:szCs w:val="19"/>
          <w:lang w:val="es-ES"/>
        </w:rPr>
      </w:pPr>
      <w:r>
        <w:rPr>
          <w:rFonts w:ascii="Trebuchet MS" w:hAnsi="Trebuchet MS" w:cs="Trebuchet MS"/>
          <w:kern w:val="1"/>
          <w:sz w:val="19"/>
          <w:szCs w:val="19"/>
          <w:lang w:val="es-ES"/>
        </w:rPr>
        <w:t>CONSIDERANDO:</w:t>
      </w:r>
    </w:p>
    <w:p w14:paraId="09E78330" w14:textId="77777777" w:rsidR="009E2A46" w:rsidRDefault="009E2A46" w:rsidP="009E2A4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bookmarkStart w:id="0" w:name="_GoBack"/>
      <w:bookmarkEnd w:id="0"/>
    </w:p>
    <w:p w14:paraId="11A089B4" w14:textId="77777777" w:rsidR="009E2A46" w:rsidRDefault="009E2A46" w:rsidP="009E2A46">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según surge del texto expreso del artículo 2º de la Ley 11.612, la Dirección General de Cultura y Educación tiene la responsabilidad principal e indelegable de garantizar el derecho a la educación y establecer la política educativa, controlar su cumplimiento y proveer los servicios correspondientes;</w:t>
      </w:r>
    </w:p>
    <w:p w14:paraId="56CF79E2" w14:textId="77777777" w:rsidR="009E2A46" w:rsidRDefault="009E2A46" w:rsidP="009E2A4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083B57B" w14:textId="77777777" w:rsidR="009E2A46" w:rsidRDefault="009E2A46" w:rsidP="009E2A46">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dicha responsabilidad se ha materializado creando, a tal efecto, unidades educativas de gestión estatal y/o autorizando o reconociendo unidades educativas de gestión privada;</w:t>
      </w:r>
    </w:p>
    <w:p w14:paraId="07D61C7C" w14:textId="77777777" w:rsidR="009E2A46" w:rsidRDefault="009E2A46" w:rsidP="009E2A4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C0F6AA2" w14:textId="77777777" w:rsidR="009E2A46" w:rsidRDefault="009E2A46" w:rsidP="009E2A46">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estas últimas, entre otros recaudos, deben contar con un Proyecto Educativo Institucional aprobado por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competente,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elaborado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idearios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regulan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derecho constitucional de enseñar y aprender, incluso mediante la posibilidad de incorporar – entre otros ítems – asignaturas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extracurriculares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cuya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conducción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pedagógica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inherente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servicio;</w:t>
      </w:r>
    </w:p>
    <w:p w14:paraId="367A9B6C" w14:textId="77777777" w:rsidR="009E2A46" w:rsidRDefault="009E2A46" w:rsidP="009E2A4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8A95E85" w14:textId="77777777" w:rsidR="009E2A46" w:rsidRDefault="009E2A46" w:rsidP="009E2A46">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asimismo, a la luz de lo preceptuado por el artículo 3º de la convención de los Derechos del Niño, las instituciones, servicios y establecimientos encargados del cuidado, protección y/o formación de los niños deben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cumplir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competente,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especialmente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materia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seguridad, sanidad,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número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competencia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existencia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supervisión;</w:t>
      </w:r>
    </w:p>
    <w:p w14:paraId="349BD774" w14:textId="77777777" w:rsidR="009E2A46" w:rsidRDefault="009E2A46" w:rsidP="009E2A4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9A54D63" w14:textId="77777777" w:rsidR="009E2A46" w:rsidRDefault="009E2A46" w:rsidP="009E2A46">
      <w:pPr>
        <w:widowControl w:val="0"/>
        <w:autoSpaceDE w:val="0"/>
        <w:autoSpaceDN w:val="0"/>
        <w:adjustRightInd w:val="0"/>
        <w:spacing w:after="0" w:line="240"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integrantes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Consultivo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presentado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objeciones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dictado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norma;</w:t>
      </w:r>
    </w:p>
    <w:p w14:paraId="3596BD69" w14:textId="77777777" w:rsidR="009E2A46" w:rsidRDefault="009E2A46" w:rsidP="009E2A4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2ED34F1" w14:textId="77777777" w:rsidR="009E2A46" w:rsidRDefault="009E2A46" w:rsidP="009E2A46">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virtud de lo expuesto, a efectos de garantizar el efectivo cumplimiento de la manda de rango constitucional citada "ut supra" corresponde el dictado del pertinente acto administrativo por parte de esta Dirección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ejercicio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poder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policía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atribuida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105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108</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 Nº 11.612, dado que el interés superior del niño es una prioridad ineludible (artículo 3.1 de la convención aludida);</w:t>
      </w:r>
    </w:p>
    <w:p w14:paraId="1114EC8D" w14:textId="77777777" w:rsidR="009E2A46" w:rsidRDefault="009E2A46" w:rsidP="009E2A4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AC39F62" w14:textId="77777777" w:rsidR="009E2A46" w:rsidRDefault="009E2A46" w:rsidP="009E2A46">
      <w:pPr>
        <w:widowControl w:val="0"/>
        <w:autoSpaceDE w:val="0"/>
        <w:autoSpaceDN w:val="0"/>
        <w:adjustRightInd w:val="0"/>
        <w:spacing w:after="0" w:line="240" w:lineRule="auto"/>
        <w:ind w:left="106"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Por</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ello;</w:t>
      </w:r>
    </w:p>
    <w:p w14:paraId="6DC65B59" w14:textId="77777777" w:rsidR="009E2A46" w:rsidRDefault="009E2A46" w:rsidP="009E2A46">
      <w:pPr>
        <w:widowControl w:val="0"/>
        <w:autoSpaceDE w:val="0"/>
        <w:autoSpaceDN w:val="0"/>
        <w:adjustRightInd w:val="0"/>
        <w:spacing w:before="3" w:after="0" w:line="235" w:lineRule="auto"/>
        <w:ind w:left="4366" w:right="-1" w:hanging="2344"/>
        <w:rPr>
          <w:rFonts w:ascii="Trebuchet MS" w:hAnsi="Trebuchet MS" w:cs="Trebuchet MS"/>
          <w:b/>
          <w:bCs/>
          <w:kern w:val="1"/>
          <w:sz w:val="19"/>
          <w:szCs w:val="19"/>
          <w:lang w:val="es-ES"/>
        </w:rPr>
      </w:pPr>
      <w:r>
        <w:rPr>
          <w:rFonts w:ascii="Trebuchet MS" w:hAnsi="Trebuchet MS" w:cs="Trebuchet MS"/>
          <w:b/>
          <w:bCs/>
          <w:kern w:val="1"/>
          <w:sz w:val="19"/>
          <w:szCs w:val="19"/>
          <w:lang w:val="es-ES"/>
        </w:rPr>
        <w:t>EL DIRECTOR PROVINCIAL DE EDUCACIÓN DE GESTIÓN PRIVADA DISPONE:</w:t>
      </w:r>
    </w:p>
    <w:p w14:paraId="6DAB62FC" w14:textId="77777777" w:rsidR="009E2A46" w:rsidRDefault="009E2A46" w:rsidP="009E2A46">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3014EE9" w14:textId="77777777" w:rsidR="009E2A46" w:rsidRDefault="009E2A46" w:rsidP="009E2A46">
      <w:pPr>
        <w:widowControl w:val="0"/>
        <w:autoSpaceDE w:val="0"/>
        <w:autoSpaceDN w:val="0"/>
        <w:adjustRightInd w:val="0"/>
        <w:spacing w:after="0" w:line="240"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Determinar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tenga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dictado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asignaturas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extracurriculares,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deberá contar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aptitud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psicofísica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extendido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sanitaria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correspondiente.</w:t>
      </w:r>
    </w:p>
    <w:p w14:paraId="443D3A1A" w14:textId="77777777" w:rsidR="009E2A46" w:rsidRDefault="009E2A46" w:rsidP="009E2A4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BEAE224" w14:textId="77777777" w:rsidR="009E2A46" w:rsidRDefault="009E2A46" w:rsidP="009E2A46">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Encomendar a los inspectores de la Dirección Provincial de Gestión Privada, la supervisión de los espacios físicos donde se dicten las referidas asignaturas, los que deberán contar con las condiciones de seguridad, habitabilidad e higiene requeridas para el desempeño de la actividad curricular.</w:t>
      </w:r>
    </w:p>
    <w:p w14:paraId="7CF27217" w14:textId="77777777" w:rsidR="009E2A46" w:rsidRDefault="009E2A46" w:rsidP="009E2A46">
      <w:pPr>
        <w:widowControl w:val="0"/>
        <w:autoSpaceDE w:val="0"/>
        <w:autoSpaceDN w:val="0"/>
        <w:adjustRightInd w:val="0"/>
        <w:spacing w:before="90"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Establecer que, cuando el dictado de las asignaturas extracurriculares requieran condiciones especiales a fin de garantizar la seguridad de los menores, las mismas deberán cumplirse y serán objeto de supervisión.</w:t>
      </w:r>
    </w:p>
    <w:p w14:paraId="7C0FD5A9" w14:textId="77777777" w:rsidR="009E2A46" w:rsidRDefault="009E2A46" w:rsidP="009E2A4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684B799" w14:textId="77777777" w:rsidR="009E2A46" w:rsidRDefault="009E2A46" w:rsidP="009E2A46">
      <w:pPr>
        <w:widowControl w:val="0"/>
        <w:autoSpaceDE w:val="0"/>
        <w:autoSpaceDN w:val="0"/>
        <w:adjustRightInd w:val="0"/>
        <w:spacing w:before="1"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Dejar establecido que, en función de su responsabilidad sobre las asignaturas extracurriculares, la Dirección del Servicio Educativo deberá tomar los recaudos pertinentes a fin de garantizar iguales condiciones de atención y seguridad del alumnado que para las áreas o espacios curriculares.</w:t>
      </w:r>
    </w:p>
    <w:p w14:paraId="2C841E28" w14:textId="77777777" w:rsidR="009E2A46" w:rsidRDefault="009E2A46" w:rsidP="009E2A4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385B980" w14:textId="77777777" w:rsidR="009E2A46" w:rsidRDefault="009E2A46" w:rsidP="009E2A46">
      <w:pPr>
        <w:widowControl w:val="0"/>
        <w:autoSpaceDE w:val="0"/>
        <w:autoSpaceDN w:val="0"/>
        <w:adjustRightInd w:val="0"/>
        <w:spacing w:after="0" w:line="237" w:lineRule="auto"/>
        <w:ind w:left="106"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Registrar esta Disposición, comunicarla a las Jefaturas de Región y por su intermedio a quienes corresponda. Cumplido, reservar en esta Dirección. ODRIOZOLA.-</w:t>
      </w:r>
    </w:p>
    <w:p w14:paraId="6CDB0543" w14:textId="39F7095A" w:rsidR="00592F1B" w:rsidRPr="009E2A46" w:rsidRDefault="00592F1B" w:rsidP="009E2A46">
      <w:pPr>
        <w:ind w:right="-1"/>
      </w:pPr>
    </w:p>
    <w:sectPr w:rsidR="00592F1B" w:rsidRPr="009E2A4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E2A46"/>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3079</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2021-05-11T12:12:00Z</dcterms:created>
  <dcterms:modified xsi:type="dcterms:W3CDTF">2021-05-11T12:12:00Z</dcterms:modified>
</cp:coreProperties>
</file>