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A44BF" w14:textId="77777777" w:rsidR="00BC4277" w:rsidRDefault="00BC4277" w:rsidP="00BC4277">
      <w:pPr>
        <w:widowControl w:val="0"/>
        <w:autoSpaceDE w:val="0"/>
        <w:autoSpaceDN w:val="0"/>
        <w:adjustRightInd w:val="0"/>
        <w:spacing w:after="0" w:line="240" w:lineRule="auto"/>
        <w:ind w:left="3832" w:right="-1"/>
        <w:rPr>
          <w:rFonts w:ascii="Times New Roman" w:hAnsi="Times New Roman" w:cs="Times New Roman"/>
          <w:sz w:val="20"/>
          <w:szCs w:val="20"/>
          <w:lang w:val="es-ES"/>
        </w:rPr>
      </w:pPr>
    </w:p>
    <w:p w14:paraId="201C3DCA" w14:textId="77777777" w:rsidR="00BC4277" w:rsidRDefault="00BC4277" w:rsidP="00BC4277">
      <w:pPr>
        <w:widowControl w:val="0"/>
        <w:autoSpaceDE w:val="0"/>
        <w:autoSpaceDN w:val="0"/>
        <w:adjustRightInd w:val="0"/>
        <w:spacing w:before="9" w:after="0" w:line="240" w:lineRule="auto"/>
        <w:ind w:right="-1"/>
        <w:rPr>
          <w:rFonts w:ascii="Times New Roman" w:hAnsi="Times New Roman" w:cs="Times New Roman"/>
          <w:sz w:val="28"/>
          <w:szCs w:val="28"/>
          <w:lang w:val="es-ES"/>
        </w:rPr>
      </w:pPr>
    </w:p>
    <w:p w14:paraId="767B1F28" w14:textId="77777777" w:rsidR="00BC4277" w:rsidRDefault="00BC4277" w:rsidP="00BC4277">
      <w:pPr>
        <w:widowControl w:val="0"/>
        <w:autoSpaceDE w:val="0"/>
        <w:autoSpaceDN w:val="0"/>
        <w:adjustRightInd w:val="0"/>
        <w:spacing w:before="4" w:after="0" w:line="240" w:lineRule="auto"/>
        <w:ind w:right="-1"/>
        <w:rPr>
          <w:rFonts w:ascii="Times New Roman" w:hAnsi="Times New Roman" w:cs="Times New Roman"/>
          <w:sz w:val="28"/>
          <w:szCs w:val="28"/>
          <w:lang w:val="es-ES"/>
        </w:rPr>
      </w:pPr>
    </w:p>
    <w:p w14:paraId="6C674B3F" w14:textId="77777777" w:rsidR="00BC4277" w:rsidRDefault="00BC4277" w:rsidP="00BC4277">
      <w:pPr>
        <w:widowControl w:val="0"/>
        <w:autoSpaceDE w:val="0"/>
        <w:autoSpaceDN w:val="0"/>
        <w:adjustRightInd w:val="0"/>
        <w:spacing w:before="99" w:after="0" w:line="355"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SUSPENSIÓN</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CONTRIBUCIÓN</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MUNICIPAL</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POR</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INCUMPLIMIENTO DE LA NORMATIVA</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VIGENTE</w:t>
      </w:r>
    </w:p>
    <w:p w14:paraId="51BEAAB2" w14:textId="77777777" w:rsidR="00BC4277" w:rsidRDefault="00BC4277" w:rsidP="00BC4277">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1AA73D6B" w14:textId="77777777" w:rsidR="00BC4277" w:rsidRDefault="00BC4277" w:rsidP="00BC4277">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MUNICIPALIDAD</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CIUDAD</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BUENOS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AIRES SECRETARÍA DE</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EDUCACIÓN</w:t>
      </w:r>
    </w:p>
    <w:p w14:paraId="1CEBE1AE" w14:textId="77777777" w:rsidR="00BC4277" w:rsidRDefault="00BC4277" w:rsidP="00BC4277">
      <w:pPr>
        <w:widowControl w:val="0"/>
        <w:autoSpaceDE w:val="0"/>
        <w:autoSpaceDN w:val="0"/>
        <w:adjustRightInd w:val="0"/>
        <w:spacing w:before="1" w:after="0" w:line="240" w:lineRule="auto"/>
        <w:ind w:right="-1"/>
        <w:rPr>
          <w:rFonts w:ascii="Times New Roman" w:hAnsi="Times New Roman" w:cs="Times New Roman"/>
          <w:b/>
          <w:bCs/>
          <w:kern w:val="1"/>
          <w:sz w:val="19"/>
          <w:szCs w:val="19"/>
          <w:lang w:val="es-ES"/>
        </w:rPr>
      </w:pPr>
    </w:p>
    <w:p w14:paraId="762FC128" w14:textId="77777777" w:rsidR="00BC4277" w:rsidRDefault="00BC4277" w:rsidP="00BC4277">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DIRECCIÓN GENERAL DE EDUCACIÓN DE GESTIÓN PRIVADA </w:t>
      </w:r>
    </w:p>
    <w:p w14:paraId="203D7F58" w14:textId="2112234E" w:rsidR="00BC4277" w:rsidRDefault="00BC4277" w:rsidP="00BC4277">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DISPOSICIÓN Nº 464 / 96</w:t>
      </w:r>
    </w:p>
    <w:p w14:paraId="724B101C" w14:textId="77777777" w:rsidR="00BC4277" w:rsidRDefault="00BC4277" w:rsidP="00BC4277">
      <w:pPr>
        <w:widowControl w:val="0"/>
        <w:autoSpaceDE w:val="0"/>
        <w:autoSpaceDN w:val="0"/>
        <w:adjustRightInd w:val="0"/>
        <w:spacing w:before="4" w:after="0" w:line="240" w:lineRule="auto"/>
        <w:ind w:right="-1"/>
        <w:rPr>
          <w:rFonts w:ascii="Times New Roman" w:hAnsi="Times New Roman" w:cs="Times New Roman"/>
          <w:b/>
          <w:bCs/>
          <w:kern w:val="1"/>
          <w:sz w:val="10"/>
          <w:szCs w:val="10"/>
          <w:lang w:val="es-ES"/>
        </w:rPr>
      </w:pPr>
    </w:p>
    <w:p w14:paraId="44B5E467" w14:textId="77777777" w:rsidR="00BC4277" w:rsidRDefault="00BC4277" w:rsidP="00BC4277">
      <w:pPr>
        <w:widowControl w:val="0"/>
        <w:autoSpaceDE w:val="0"/>
        <w:autoSpaceDN w:val="0"/>
        <w:adjustRightInd w:val="0"/>
        <w:spacing w:before="3" w:after="0" w:line="240" w:lineRule="auto"/>
        <w:ind w:right="-1"/>
        <w:rPr>
          <w:rFonts w:ascii="Times New Roman" w:hAnsi="Times New Roman" w:cs="Times New Roman"/>
          <w:b/>
          <w:bCs/>
          <w:kern w:val="1"/>
          <w:sz w:val="27"/>
          <w:szCs w:val="27"/>
          <w:lang w:val="es-ES"/>
        </w:rPr>
      </w:pPr>
    </w:p>
    <w:p w14:paraId="1108225B" w14:textId="77777777" w:rsidR="00BC4277" w:rsidRDefault="00BC4277" w:rsidP="00BC4277">
      <w:pPr>
        <w:widowControl w:val="0"/>
        <w:autoSpaceDE w:val="0"/>
        <w:autoSpaceDN w:val="0"/>
        <w:adjustRightInd w:val="0"/>
        <w:spacing w:before="1" w:after="0" w:line="240" w:lineRule="auto"/>
        <w:ind w:left="106" w:right="-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VISTO,</w:t>
      </w:r>
    </w:p>
    <w:p w14:paraId="001AB5DC" w14:textId="77777777" w:rsidR="00BC4277" w:rsidRDefault="00BC4277" w:rsidP="00BC4277">
      <w:pPr>
        <w:widowControl w:val="0"/>
        <w:autoSpaceDE w:val="0"/>
        <w:autoSpaceDN w:val="0"/>
        <w:adjustRightInd w:val="0"/>
        <w:spacing w:before="99" w:after="0" w:line="240" w:lineRule="auto"/>
        <w:ind w:left="5838" w:right="-1"/>
        <w:rPr>
          <w:rFonts w:ascii="Trebuchet MS" w:hAnsi="Trebuchet MS" w:cs="Trebuchet MS"/>
          <w:kern w:val="1"/>
          <w:sz w:val="19"/>
          <w:szCs w:val="19"/>
          <w:lang w:val="es-ES"/>
        </w:rPr>
      </w:pPr>
      <w:r>
        <w:rPr>
          <w:rFonts w:ascii="Trebuchet MS" w:hAnsi="Trebuchet MS" w:cs="Trebuchet MS"/>
          <w:kern w:val="1"/>
          <w:sz w:val="19"/>
          <w:szCs w:val="19"/>
          <w:lang w:val="es-ES"/>
        </w:rPr>
        <w:t>Buenos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mayo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1996</w:t>
      </w:r>
      <w:bookmarkStart w:id="0" w:name="_GoBack"/>
      <w:bookmarkEnd w:id="0"/>
    </w:p>
    <w:p w14:paraId="1BBF6043" w14:textId="77777777" w:rsidR="00BC4277" w:rsidRDefault="00BC4277" w:rsidP="00BC4277">
      <w:pPr>
        <w:widowControl w:val="0"/>
        <w:autoSpaceDE w:val="0"/>
        <w:autoSpaceDN w:val="0"/>
        <w:adjustRightInd w:val="0"/>
        <w:spacing w:after="0" w:line="240" w:lineRule="auto"/>
        <w:ind w:right="-1"/>
        <w:rPr>
          <w:rFonts w:ascii="Times New Roman" w:hAnsi="Times New Roman" w:cs="Times New Roman"/>
          <w:kern w:val="1"/>
          <w:lang w:val="es-ES"/>
        </w:rPr>
      </w:pPr>
    </w:p>
    <w:p w14:paraId="17DCABAE" w14:textId="77777777" w:rsidR="00BC4277" w:rsidRDefault="00BC4277" w:rsidP="00BC4277">
      <w:pPr>
        <w:widowControl w:val="0"/>
        <w:autoSpaceDE w:val="0"/>
        <w:autoSpaceDN w:val="0"/>
        <w:adjustRightInd w:val="0"/>
        <w:spacing w:before="179" w:after="0" w:line="220" w:lineRule="exact"/>
        <w:ind w:left="42" w:right="-1"/>
        <w:rPr>
          <w:rFonts w:ascii="Trebuchet MS" w:hAnsi="Trebuchet MS" w:cs="Trebuchet MS"/>
          <w:kern w:val="1"/>
          <w:sz w:val="19"/>
          <w:szCs w:val="19"/>
          <w:lang w:val="es-ES"/>
        </w:rPr>
      </w:pPr>
      <w:r>
        <w:rPr>
          <w:rFonts w:ascii="Trebuchet MS" w:hAnsi="Trebuchet MS" w:cs="Trebuchet MS"/>
          <w:kern w:val="1"/>
          <w:sz w:val="19"/>
          <w:szCs w:val="19"/>
          <w:lang w:val="es-ES"/>
        </w:rPr>
        <w:t>lo dispuesto por la Ley 24.049; Ley 24.195, el Convenio de Transferencia suscripto entre el MCE de</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la</w:t>
      </w:r>
    </w:p>
    <w:p w14:paraId="07B30310" w14:textId="77777777" w:rsidR="00BC4277" w:rsidRDefault="00BC4277" w:rsidP="00BC4277">
      <w:pPr>
        <w:widowControl w:val="0"/>
        <w:autoSpaceDE w:val="0"/>
        <w:autoSpaceDN w:val="0"/>
        <w:adjustRightInd w:val="0"/>
        <w:spacing w:after="0" w:line="237" w:lineRule="auto"/>
        <w:ind w:left="106" w:right="-1"/>
        <w:rPr>
          <w:rFonts w:ascii="Trebuchet MS" w:hAnsi="Trebuchet MS" w:cs="Trebuchet MS"/>
          <w:kern w:val="1"/>
          <w:sz w:val="19"/>
          <w:szCs w:val="19"/>
          <w:lang w:val="es-ES"/>
        </w:rPr>
      </w:pPr>
      <w:r>
        <w:rPr>
          <w:rFonts w:ascii="Trebuchet MS" w:hAnsi="Trebuchet MS" w:cs="Trebuchet MS"/>
          <w:kern w:val="1"/>
          <w:sz w:val="19"/>
          <w:szCs w:val="19"/>
          <w:lang w:val="es-ES"/>
        </w:rPr>
        <w:t>Nación y la MCBA, y las Actas complementarias del precitado convenio, el Decreto PEN Nº 2542/91 y su reglamentación y el Decreto Nº 1236/93, y</w:t>
      </w:r>
    </w:p>
    <w:p w14:paraId="79892FE9" w14:textId="77777777" w:rsidR="00BC4277" w:rsidRDefault="00BC4277" w:rsidP="00BC427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EFFF934" w14:textId="77777777" w:rsidR="00BC4277" w:rsidRDefault="00BC4277" w:rsidP="00BC4277">
      <w:pPr>
        <w:widowControl w:val="0"/>
        <w:autoSpaceDE w:val="0"/>
        <w:autoSpaceDN w:val="0"/>
        <w:adjustRightInd w:val="0"/>
        <w:spacing w:after="0" w:line="240" w:lineRule="auto"/>
        <w:ind w:left="106" w:right="-1"/>
        <w:rPr>
          <w:rFonts w:ascii="Trebuchet MS" w:hAnsi="Trebuchet MS" w:cs="Trebuchet MS"/>
          <w:kern w:val="1"/>
          <w:sz w:val="19"/>
          <w:szCs w:val="19"/>
          <w:lang w:val="es-ES"/>
        </w:rPr>
      </w:pPr>
      <w:r>
        <w:rPr>
          <w:rFonts w:ascii="Trebuchet MS" w:hAnsi="Trebuchet MS" w:cs="Trebuchet MS"/>
          <w:kern w:val="1"/>
          <w:sz w:val="19"/>
          <w:szCs w:val="19"/>
          <w:lang w:val="es-ES"/>
        </w:rPr>
        <w:t>CONSIDERANDO:</w:t>
      </w:r>
    </w:p>
    <w:p w14:paraId="5D080798" w14:textId="77777777" w:rsidR="00BC4277" w:rsidRDefault="00BC4277" w:rsidP="00BC427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8184BE8" w14:textId="77777777" w:rsidR="00BC4277" w:rsidRDefault="00BC4277" w:rsidP="00BC4277">
      <w:pPr>
        <w:widowControl w:val="0"/>
        <w:autoSpaceDE w:val="0"/>
        <w:autoSpaceDN w:val="0"/>
        <w:adjustRightInd w:val="0"/>
        <w:spacing w:after="0" w:line="240" w:lineRule="auto"/>
        <w:ind w:left="106"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Que resulta indispensable garantizar los principios de equidad y justicia social en el control y supervisión del aporte municipal.</w:t>
      </w:r>
    </w:p>
    <w:p w14:paraId="7724B628" w14:textId="77777777" w:rsidR="00BC4277" w:rsidRDefault="00BC4277" w:rsidP="00BC4277">
      <w:pPr>
        <w:widowControl w:val="0"/>
        <w:autoSpaceDE w:val="0"/>
        <w:autoSpaceDN w:val="0"/>
        <w:adjustRightInd w:val="0"/>
        <w:spacing w:after="0" w:line="240" w:lineRule="auto"/>
        <w:ind w:left="106"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Que es necesario profundizar y complementar medidas preventivas y/o correctivas que posibiliten el normal funcionamiento del sistema para financiar los sueldos docentes del ámbito de gestión privada.</w:t>
      </w:r>
    </w:p>
    <w:p w14:paraId="566D032F" w14:textId="77777777" w:rsidR="00BC4277" w:rsidRDefault="00BC4277" w:rsidP="00BC4277">
      <w:pPr>
        <w:widowControl w:val="0"/>
        <w:autoSpaceDE w:val="0"/>
        <w:autoSpaceDN w:val="0"/>
        <w:adjustRightInd w:val="0"/>
        <w:spacing w:after="0" w:line="216" w:lineRule="exact"/>
        <w:ind w:left="772"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normativa vigente establece sanciones, algunas de carácter transitorio y otras permanentes.</w:t>
      </w:r>
    </w:p>
    <w:p w14:paraId="2F1FF638" w14:textId="77777777" w:rsidR="00BC4277" w:rsidRDefault="00BC4277" w:rsidP="00BC4277">
      <w:pPr>
        <w:widowControl w:val="0"/>
        <w:autoSpaceDE w:val="0"/>
        <w:autoSpaceDN w:val="0"/>
        <w:adjustRightInd w:val="0"/>
        <w:spacing w:after="0" w:line="237" w:lineRule="auto"/>
        <w:ind w:left="106"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Que asimismo es preciso contar con mecanismos operativos en la implementación de normas de conocimiento pleno de quienes deban cumplirlas, cuya instrumentación no implique exceso de formalismos, que tornen compleja la acción administrativa.</w:t>
      </w:r>
    </w:p>
    <w:p w14:paraId="78359B81" w14:textId="77777777" w:rsidR="00BC4277" w:rsidRDefault="00BC4277" w:rsidP="00BC4277">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3B9BA9E9" w14:textId="77777777" w:rsidR="00BC4277" w:rsidRDefault="00BC4277" w:rsidP="00BC4277">
      <w:pPr>
        <w:widowControl w:val="0"/>
        <w:autoSpaceDE w:val="0"/>
        <w:autoSpaceDN w:val="0"/>
        <w:adjustRightInd w:val="0"/>
        <w:spacing w:after="0" w:line="240" w:lineRule="auto"/>
        <w:ind w:left="106"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5DD227D5" w14:textId="77777777" w:rsidR="00BC4277" w:rsidRDefault="00BC4277" w:rsidP="00BC4277">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624F0E90" w14:textId="77777777" w:rsidR="00BC4277" w:rsidRDefault="00BC4277" w:rsidP="00BC4277">
      <w:pPr>
        <w:widowControl w:val="0"/>
        <w:autoSpaceDE w:val="0"/>
        <w:autoSpaceDN w:val="0"/>
        <w:adjustRightInd w:val="0"/>
        <w:spacing w:before="99" w:after="0" w:line="355" w:lineRule="auto"/>
        <w:ind w:left="4399" w:right="-1" w:hanging="2259"/>
        <w:rPr>
          <w:rFonts w:ascii="Trebuchet MS" w:hAnsi="Trebuchet MS" w:cs="Trebuchet MS"/>
          <w:b/>
          <w:bCs/>
          <w:kern w:val="1"/>
          <w:sz w:val="19"/>
          <w:szCs w:val="19"/>
          <w:lang w:val="es-ES"/>
        </w:rPr>
      </w:pPr>
      <w:r>
        <w:rPr>
          <w:rFonts w:ascii="Trebuchet MS" w:hAnsi="Trebuchet MS" w:cs="Trebuchet MS"/>
          <w:b/>
          <w:bCs/>
          <w:kern w:val="1"/>
          <w:sz w:val="19"/>
          <w:szCs w:val="19"/>
          <w:lang w:val="es-ES"/>
        </w:rPr>
        <w:t>EL DIRECTOR GENERAL DE EDUCACIÓN DE GESTIÓN PRIVADA DISPONE</w:t>
      </w:r>
    </w:p>
    <w:p w14:paraId="0DEE91A4" w14:textId="77777777" w:rsidR="00BC4277" w:rsidRDefault="00BC4277" w:rsidP="00BC4277">
      <w:pPr>
        <w:widowControl w:val="0"/>
        <w:autoSpaceDE w:val="0"/>
        <w:autoSpaceDN w:val="0"/>
        <w:adjustRightInd w:val="0"/>
        <w:spacing w:before="7" w:after="0" w:line="240" w:lineRule="auto"/>
        <w:ind w:right="-1"/>
        <w:rPr>
          <w:rFonts w:ascii="Times New Roman" w:hAnsi="Times New Roman" w:cs="Times New Roman"/>
          <w:b/>
          <w:bCs/>
          <w:kern w:val="1"/>
          <w:sz w:val="28"/>
          <w:szCs w:val="28"/>
          <w:lang w:val="es-ES"/>
        </w:rPr>
      </w:pPr>
    </w:p>
    <w:p w14:paraId="14560690" w14:textId="77777777" w:rsidR="00BC4277" w:rsidRDefault="00BC4277" w:rsidP="00BC4277">
      <w:pPr>
        <w:widowControl w:val="0"/>
        <w:autoSpaceDE w:val="0"/>
        <w:autoSpaceDN w:val="0"/>
        <w:adjustRightInd w:val="0"/>
        <w:spacing w:after="0" w:line="237" w:lineRule="auto"/>
        <w:ind w:left="106"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1º-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la suspensión de la contribución municipal que la DGEGP imponga a un instituto,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normativa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vigente,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operará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pleno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ante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simple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incumplimiento, sin mediar acto administrativo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expreso.</w:t>
      </w:r>
    </w:p>
    <w:p w14:paraId="43468ED0" w14:textId="77777777" w:rsidR="00BC4277" w:rsidRDefault="00BC4277" w:rsidP="00BC427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4E1ACDD" w14:textId="77777777" w:rsidR="00BC4277" w:rsidRDefault="00BC4277" w:rsidP="00BC4277">
      <w:pPr>
        <w:widowControl w:val="0"/>
        <w:autoSpaceDE w:val="0"/>
        <w:autoSpaceDN w:val="0"/>
        <w:adjustRightInd w:val="0"/>
        <w:spacing w:before="1" w:after="0" w:line="237" w:lineRule="auto"/>
        <w:ind w:left="106"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La suspensión a la que hace referencia el Artículo anterior, no implica necesariamente la pérdida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recibir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aporte,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transferido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regularizada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situación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dio lugar a la suspensión del mismo, siempre que la posibilidad presupuestaria lo</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permita.</w:t>
      </w:r>
    </w:p>
    <w:p w14:paraId="60B151F5" w14:textId="77777777" w:rsidR="00BC4277" w:rsidRDefault="00BC4277" w:rsidP="00BC427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DA1FC46" w14:textId="77777777" w:rsidR="00BC4277" w:rsidRDefault="00BC4277" w:rsidP="00BC4277">
      <w:pPr>
        <w:widowControl w:val="0"/>
        <w:autoSpaceDE w:val="0"/>
        <w:autoSpaceDN w:val="0"/>
        <w:adjustRightInd w:val="0"/>
        <w:spacing w:after="0" w:line="237" w:lineRule="auto"/>
        <w:ind w:left="106"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Lo dispuesto en el Art.1º, no obsta para que cuando corresponda, sean de aplicación las sanciones previstas en el Decreto Nº 2542/91 y la R.M. Nº 1640/92, cursándose de ser preciso, las comunicaciones formales pertinentes.</w:t>
      </w:r>
    </w:p>
    <w:p w14:paraId="1A57BBDC" w14:textId="77777777" w:rsidR="00BC4277" w:rsidRDefault="00BC4277" w:rsidP="00BC427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2CEA3C4" w14:textId="77777777" w:rsidR="00BC4277" w:rsidRDefault="00BC4277" w:rsidP="00BC4277">
      <w:pPr>
        <w:widowControl w:val="0"/>
        <w:autoSpaceDE w:val="0"/>
        <w:autoSpaceDN w:val="0"/>
        <w:adjustRightInd w:val="0"/>
        <w:spacing w:after="0" w:line="240" w:lineRule="auto"/>
        <w:ind w:left="772" w:right="-1"/>
        <w:rPr>
          <w:rFonts w:ascii="Trebuchet MS" w:hAnsi="Trebuchet MS" w:cs="Trebuchet MS"/>
          <w:kern w:val="1"/>
          <w:sz w:val="19"/>
          <w:szCs w:val="19"/>
          <w:lang w:val="es-ES"/>
        </w:rPr>
      </w:pPr>
      <w:r>
        <w:rPr>
          <w:rFonts w:ascii="Trebuchet MS" w:hAnsi="Trebuchet MS" w:cs="Trebuchet MS"/>
          <w:kern w:val="1"/>
          <w:sz w:val="19"/>
          <w:szCs w:val="19"/>
          <w:lang w:val="es-ES"/>
        </w:rPr>
        <w:t>Artículo 4º- Regístrese, comuníquese y archívese.</w:t>
      </w:r>
    </w:p>
    <w:p w14:paraId="3C6D5C90" w14:textId="77777777" w:rsidR="00BC4277" w:rsidRDefault="00BC4277" w:rsidP="00BC42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84C94B" w14:textId="77777777" w:rsidR="00BC4277" w:rsidRDefault="00BC4277" w:rsidP="00BC42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2B18F0" w14:textId="77777777" w:rsidR="00BC4277" w:rsidRDefault="00BC4277" w:rsidP="00BC42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688F19" w14:textId="77777777" w:rsidR="00BC4277" w:rsidRDefault="00BC4277" w:rsidP="00BC42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4678BD" w14:textId="77777777" w:rsidR="00BC4277" w:rsidRDefault="00BC4277" w:rsidP="00BC4277">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p w14:paraId="1792CF84" w14:textId="77777777" w:rsidR="00BC4277" w:rsidRDefault="00BC4277" w:rsidP="00BC4277">
      <w:pPr>
        <w:widowControl w:val="0"/>
        <w:autoSpaceDE w:val="0"/>
        <w:autoSpaceDN w:val="0"/>
        <w:adjustRightInd w:val="0"/>
        <w:spacing w:before="101" w:after="0" w:line="240" w:lineRule="auto"/>
        <w:ind w:left="2422" w:right="-1" w:hanging="2061"/>
        <w:rPr>
          <w:rFonts w:ascii="Times New Roman" w:hAnsi="Times New Roman" w:cs="Times New Roman"/>
          <w:kern w:val="1"/>
          <w:sz w:val="15"/>
          <w:szCs w:val="15"/>
          <w:lang w:val="es-ES"/>
        </w:rPr>
      </w:pPr>
    </w:p>
    <w:p w14:paraId="6CDB0543" w14:textId="39F7095A" w:rsidR="00592F1B" w:rsidRPr="00AC3BA6" w:rsidRDefault="00592F1B" w:rsidP="00BC427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C4277"/>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1798</Characters>
  <Application>Microsoft Macintosh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2021-05-11T16:00:00Z</dcterms:created>
  <dcterms:modified xsi:type="dcterms:W3CDTF">2021-05-11T16:00:00Z</dcterms:modified>
</cp:coreProperties>
</file>