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09357" w14:textId="77777777" w:rsidR="00195015" w:rsidRDefault="00195015" w:rsidP="00195015">
      <w:pPr>
        <w:jc w:val="center"/>
        <w:rPr>
          <w:rFonts w:ascii="Trebuchet MS" w:hAnsi="Trebuchet MS"/>
          <w:b/>
          <w:lang w:val="es-MX"/>
        </w:rPr>
      </w:pPr>
    </w:p>
    <w:p w14:paraId="30CBA2D8" w14:textId="77777777" w:rsidR="00195015" w:rsidRPr="005C25BD" w:rsidRDefault="00195015" w:rsidP="00195015">
      <w:pPr>
        <w:jc w:val="center"/>
        <w:rPr>
          <w:rFonts w:ascii="Trebuchet MS" w:hAnsi="Trebuchet MS"/>
          <w:b/>
          <w:lang w:val="es-MX"/>
        </w:rPr>
      </w:pPr>
      <w:bookmarkStart w:id="0" w:name="_GoBack"/>
      <w:bookmarkEnd w:id="0"/>
      <w:r w:rsidRPr="005C25BD">
        <w:rPr>
          <w:rFonts w:ascii="Trebuchet MS" w:hAnsi="Trebuchet MS"/>
          <w:b/>
          <w:lang w:val="es-MX"/>
        </w:rPr>
        <w:t>DERECHO DE ADMISIÓN</w:t>
      </w:r>
    </w:p>
    <w:p w14:paraId="0F3313E2" w14:textId="77777777" w:rsidR="00195015" w:rsidRPr="005C25BD" w:rsidRDefault="00195015" w:rsidP="00195015">
      <w:pPr>
        <w:keepNext/>
        <w:jc w:val="center"/>
        <w:outlineLvl w:val="2"/>
        <w:rPr>
          <w:rFonts w:ascii="Trebuchet MS" w:hAnsi="Trebuchet MS" w:cs="Arial"/>
          <w:b/>
          <w:bCs/>
          <w:caps/>
          <w:lang w:val="es-MX" w:eastAsia="es-MX"/>
        </w:rPr>
      </w:pPr>
    </w:p>
    <w:p w14:paraId="358E8FA8" w14:textId="77777777" w:rsidR="00195015" w:rsidRPr="005C25BD" w:rsidRDefault="00195015" w:rsidP="00195015">
      <w:pPr>
        <w:keepNext/>
        <w:jc w:val="center"/>
        <w:outlineLvl w:val="2"/>
        <w:rPr>
          <w:rFonts w:ascii="Trebuchet MS" w:hAnsi="Trebuchet MS" w:cs="Arial"/>
          <w:b/>
          <w:bCs/>
          <w:caps/>
          <w:lang w:val="es-MX" w:eastAsia="es-MX"/>
        </w:rPr>
      </w:pPr>
      <w:r w:rsidRPr="005C25BD">
        <w:rPr>
          <w:rFonts w:ascii="Trebuchet MS" w:hAnsi="Trebuchet MS" w:cs="Arial"/>
          <w:b/>
          <w:bCs/>
          <w:caps/>
          <w:lang w:val="es-MX" w:eastAsia="es-MX"/>
        </w:rPr>
        <w:t>Legislatura de la Ciudad Autónoma de Buenos Aires</w:t>
      </w:r>
    </w:p>
    <w:p w14:paraId="3929EF9B" w14:textId="77777777" w:rsidR="00195015" w:rsidRPr="005C25BD" w:rsidRDefault="00195015" w:rsidP="00195015">
      <w:pPr>
        <w:jc w:val="both"/>
        <w:rPr>
          <w:rFonts w:ascii="Trebuchet MS" w:hAnsi="Trebuchet MS"/>
          <w:b/>
        </w:rPr>
      </w:pPr>
    </w:p>
    <w:p w14:paraId="18D9E367" w14:textId="77777777" w:rsidR="00195015" w:rsidRPr="005C25BD" w:rsidRDefault="00195015" w:rsidP="00195015">
      <w:pPr>
        <w:jc w:val="center"/>
        <w:rPr>
          <w:rFonts w:ascii="Trebuchet MS" w:hAnsi="Trebuchet MS" w:cs="Arial"/>
          <w:b/>
          <w:bCs/>
          <w:lang w:val="es-MX" w:eastAsia="es-MX"/>
        </w:rPr>
      </w:pPr>
      <w:bookmarkStart w:id="1" w:name="1"/>
      <w:bookmarkEnd w:id="1"/>
      <w:r w:rsidRPr="005C25BD">
        <w:rPr>
          <w:rFonts w:ascii="Trebuchet MS" w:hAnsi="Trebuchet MS" w:cs="Arial"/>
          <w:b/>
          <w:bCs/>
          <w:lang w:val="es-MX" w:eastAsia="es-MX"/>
        </w:rPr>
        <w:t>LEY N° 2.681</w:t>
      </w:r>
    </w:p>
    <w:p w14:paraId="79F5B4F1" w14:textId="77777777" w:rsidR="00195015" w:rsidRPr="005C25BD" w:rsidRDefault="00195015" w:rsidP="00195015">
      <w:pPr>
        <w:jc w:val="both"/>
        <w:rPr>
          <w:rFonts w:ascii="Trebuchet MS" w:hAnsi="Trebuchet MS"/>
          <w:b/>
          <w:bCs/>
          <w:lang w:val="es-MX" w:eastAsia="es-MX"/>
        </w:rPr>
      </w:pPr>
      <w:r w:rsidRPr="005C25BD">
        <w:rPr>
          <w:rFonts w:ascii="Trebuchet MS" w:hAnsi="Trebuchet MS" w:cs="Arial"/>
          <w:b/>
          <w:bCs/>
          <w:lang w:val="es-MX" w:eastAsia="es-MX"/>
        </w:rPr>
        <w:br/>
      </w:r>
    </w:p>
    <w:p w14:paraId="622B692D" w14:textId="77777777" w:rsidR="00195015" w:rsidRPr="005C25BD" w:rsidRDefault="00195015" w:rsidP="00195015">
      <w:pPr>
        <w:jc w:val="right"/>
        <w:rPr>
          <w:rFonts w:ascii="Trebuchet MS" w:hAnsi="Trebuchet MS" w:cs="Arial"/>
          <w:lang w:val="es-MX" w:eastAsia="es-MX"/>
        </w:rPr>
      </w:pPr>
      <w:r w:rsidRPr="005C25BD">
        <w:rPr>
          <w:rFonts w:ascii="Trebuchet MS" w:hAnsi="Trebuchet MS" w:cs="Arial"/>
          <w:lang w:val="es-MX" w:eastAsia="es-MX"/>
        </w:rPr>
        <w:t>Buenos Aires, 10 de abril de 2008.</w:t>
      </w:r>
    </w:p>
    <w:p w14:paraId="366EC548" w14:textId="77777777" w:rsidR="00195015" w:rsidRPr="005C25BD" w:rsidRDefault="00195015" w:rsidP="00195015">
      <w:pPr>
        <w:jc w:val="both"/>
        <w:rPr>
          <w:rFonts w:ascii="Trebuchet MS" w:hAnsi="Trebuchet MS"/>
          <w:lang w:val="es-MX" w:eastAsia="es-MX"/>
        </w:rPr>
      </w:pPr>
    </w:p>
    <w:p w14:paraId="52931E24" w14:textId="77777777" w:rsidR="00195015" w:rsidRPr="005C25BD" w:rsidRDefault="00195015" w:rsidP="00195015">
      <w:pPr>
        <w:jc w:val="both"/>
        <w:rPr>
          <w:rFonts w:ascii="Trebuchet MS" w:hAnsi="Trebuchet MS"/>
          <w:lang w:val="es-MX" w:eastAsia="es-MX"/>
        </w:rPr>
      </w:pPr>
    </w:p>
    <w:p w14:paraId="70F833C0" w14:textId="77777777" w:rsidR="00195015" w:rsidRPr="005C25BD" w:rsidRDefault="00195015" w:rsidP="00195015">
      <w:pPr>
        <w:jc w:val="center"/>
        <w:rPr>
          <w:rFonts w:ascii="Trebuchet MS" w:hAnsi="Trebuchet MS" w:cs="Arial"/>
          <w:b/>
          <w:bCs/>
          <w:lang w:val="es-MX" w:eastAsia="es-MX"/>
        </w:rPr>
      </w:pPr>
      <w:r w:rsidRPr="005C25BD">
        <w:rPr>
          <w:rFonts w:ascii="Trebuchet MS" w:hAnsi="Trebuchet MS" w:cs="Arial"/>
          <w:b/>
          <w:bCs/>
          <w:lang w:val="es-MX" w:eastAsia="es-MX"/>
        </w:rPr>
        <w:t>La Legislatura de la Ciudad Autónoma de Buenos Aires</w:t>
      </w:r>
    </w:p>
    <w:p w14:paraId="7CE6436F" w14:textId="77777777" w:rsidR="00195015" w:rsidRPr="005C25BD" w:rsidRDefault="00195015" w:rsidP="00195015">
      <w:pPr>
        <w:jc w:val="center"/>
        <w:rPr>
          <w:rFonts w:ascii="Trebuchet MS" w:hAnsi="Trebuchet MS" w:cs="Arial"/>
          <w:b/>
          <w:bCs/>
          <w:lang w:val="es-MX" w:eastAsia="es-MX"/>
        </w:rPr>
      </w:pPr>
      <w:r w:rsidRPr="005C25BD">
        <w:rPr>
          <w:rFonts w:ascii="Trebuchet MS" w:hAnsi="Trebuchet MS" w:cs="Arial"/>
          <w:b/>
          <w:bCs/>
          <w:lang w:val="es-MX" w:eastAsia="es-MX"/>
        </w:rPr>
        <w:t>sanciona con fuerza de</w:t>
      </w:r>
    </w:p>
    <w:p w14:paraId="28B5EEBD" w14:textId="77777777" w:rsidR="00195015" w:rsidRPr="005C25BD" w:rsidRDefault="00195015" w:rsidP="00195015">
      <w:pPr>
        <w:jc w:val="center"/>
        <w:rPr>
          <w:rFonts w:ascii="Trebuchet MS" w:hAnsi="Trebuchet MS" w:cs="Arial"/>
          <w:b/>
          <w:bCs/>
          <w:lang w:val="es-MX" w:eastAsia="es-MX"/>
        </w:rPr>
      </w:pPr>
      <w:r w:rsidRPr="005C25BD">
        <w:rPr>
          <w:rFonts w:ascii="Trebuchet MS" w:hAnsi="Trebuchet MS" w:cs="Arial"/>
          <w:b/>
          <w:bCs/>
          <w:lang w:val="es-MX" w:eastAsia="es-MX"/>
        </w:rPr>
        <w:t>ley</w:t>
      </w:r>
    </w:p>
    <w:p w14:paraId="66949469" w14:textId="77777777" w:rsidR="00195015" w:rsidRDefault="00195015" w:rsidP="00195015">
      <w:pPr>
        <w:jc w:val="both"/>
        <w:rPr>
          <w:rFonts w:ascii="Trebuchet MS" w:hAnsi="Trebuchet MS"/>
          <w:b/>
          <w:bCs/>
          <w:lang w:val="es-MX" w:eastAsia="es-MX"/>
        </w:rPr>
      </w:pPr>
    </w:p>
    <w:p w14:paraId="6D0E727C" w14:textId="77777777" w:rsidR="00195015" w:rsidRPr="005C25BD" w:rsidRDefault="00195015" w:rsidP="00195015">
      <w:pPr>
        <w:jc w:val="both"/>
        <w:rPr>
          <w:rFonts w:ascii="Trebuchet MS" w:hAnsi="Trebuchet MS"/>
          <w:b/>
          <w:bCs/>
          <w:lang w:val="es-MX" w:eastAsia="es-MX"/>
        </w:rPr>
      </w:pPr>
    </w:p>
    <w:p w14:paraId="5E4ADFED" w14:textId="77777777" w:rsidR="00195015" w:rsidRPr="005C25BD" w:rsidRDefault="00195015" w:rsidP="00195015">
      <w:pPr>
        <w:jc w:val="both"/>
        <w:rPr>
          <w:rFonts w:ascii="Trebuchet MS" w:hAnsi="Trebuchet MS" w:cs="Arial"/>
          <w:lang w:val="es-MX" w:eastAsia="es-MX"/>
        </w:rPr>
      </w:pPr>
      <w:r w:rsidRPr="005C25BD">
        <w:rPr>
          <w:rFonts w:ascii="Trebuchet MS" w:hAnsi="Trebuchet MS" w:cs="Arial"/>
          <w:b/>
          <w:lang w:val="es-MX" w:eastAsia="es-MX"/>
        </w:rPr>
        <w:t>Artículo 1°.-</w:t>
      </w:r>
      <w:r w:rsidRPr="005C25BD">
        <w:rPr>
          <w:rFonts w:ascii="Trebuchet MS" w:hAnsi="Trebuchet MS" w:cs="Arial"/>
          <w:lang w:val="es-MX" w:eastAsia="es-MX"/>
        </w:rPr>
        <w:t xml:space="preserve"> Los establecimientos educativos de gestión privada incorporados a la enseñanza oficial en todos sus niveles no podrán negar sin causa la matriculación o la rematriculación a un/a aspirante para el año o ciclo lectivo siguiente.</w:t>
      </w:r>
    </w:p>
    <w:p w14:paraId="797D820D" w14:textId="77777777" w:rsidR="00195015" w:rsidRPr="005C25BD" w:rsidRDefault="00195015" w:rsidP="00195015">
      <w:pPr>
        <w:jc w:val="both"/>
        <w:rPr>
          <w:rFonts w:ascii="Trebuchet MS" w:hAnsi="Trebuchet MS" w:cs="Arial"/>
          <w:lang w:val="es-MX" w:eastAsia="es-MX"/>
        </w:rPr>
      </w:pPr>
    </w:p>
    <w:p w14:paraId="5EF32FB2" w14:textId="77777777" w:rsidR="00195015" w:rsidRPr="005C25BD" w:rsidRDefault="00195015" w:rsidP="00195015">
      <w:pPr>
        <w:jc w:val="both"/>
        <w:rPr>
          <w:rFonts w:ascii="Trebuchet MS" w:hAnsi="Trebuchet MS" w:cs="Arial"/>
          <w:lang w:val="es-MX" w:eastAsia="es-MX"/>
        </w:rPr>
      </w:pPr>
      <w:r w:rsidRPr="005C25BD">
        <w:rPr>
          <w:rFonts w:ascii="Trebuchet MS" w:hAnsi="Trebuchet MS" w:cs="Arial"/>
          <w:lang w:val="es-MX" w:eastAsia="es-MX"/>
        </w:rPr>
        <w:t>Artículo 2°.- Las causas que aleguen las instituciones educativas para negar la matriculación o rematriculación, no deben ser contrarias a los derechos reconocidos en la Constitución Nacional y en la Constitución de la Ciudad Autónoma de Buenos Aires.</w:t>
      </w:r>
    </w:p>
    <w:p w14:paraId="3279ACFC" w14:textId="77777777" w:rsidR="00195015" w:rsidRPr="005C25BD" w:rsidRDefault="00195015" w:rsidP="00195015">
      <w:pPr>
        <w:jc w:val="both"/>
        <w:rPr>
          <w:rFonts w:ascii="Trebuchet MS" w:hAnsi="Trebuchet MS" w:cs="Arial"/>
          <w:lang w:val="es-MX" w:eastAsia="es-MX"/>
        </w:rPr>
      </w:pPr>
    </w:p>
    <w:p w14:paraId="00EE19EA" w14:textId="77777777" w:rsidR="00195015" w:rsidRPr="005C25BD" w:rsidRDefault="00195015" w:rsidP="00195015">
      <w:pPr>
        <w:jc w:val="both"/>
        <w:rPr>
          <w:rFonts w:ascii="Trebuchet MS" w:hAnsi="Trebuchet MS" w:cs="Arial"/>
          <w:lang w:val="es-MX" w:eastAsia="es-MX"/>
        </w:rPr>
      </w:pPr>
      <w:r w:rsidRPr="005C25BD">
        <w:rPr>
          <w:rFonts w:ascii="Trebuchet MS" w:hAnsi="Trebuchet MS" w:cs="Arial"/>
          <w:lang w:val="es-MX" w:eastAsia="es-MX"/>
        </w:rPr>
        <w:t>Artículo 3°.- El padre, madre o tutor a cargo del alumno, o el/la alumno/a mayor de edad, podrá solicitar la fundamentación a la negativa de matriculación o rematriculación, mediante nota; telegrama o carta documento dirigida a las autoridades de la institución educativa, en el plazo que establezca la reglamentación. En caso de que dicha información sea negada, podrá radicarse denuncia ante el Ministerio de Educación de la Ciudad Autónoma de Buenos Aires.</w:t>
      </w:r>
    </w:p>
    <w:p w14:paraId="4964DBBB" w14:textId="77777777" w:rsidR="00195015" w:rsidRPr="005C25BD" w:rsidRDefault="00195015" w:rsidP="00195015">
      <w:pPr>
        <w:jc w:val="both"/>
        <w:rPr>
          <w:rFonts w:ascii="Trebuchet MS" w:hAnsi="Trebuchet MS" w:cs="Arial"/>
          <w:lang w:val="es-MX" w:eastAsia="es-MX"/>
        </w:rPr>
      </w:pPr>
    </w:p>
    <w:p w14:paraId="3D4E77D7" w14:textId="77777777" w:rsidR="00195015" w:rsidRPr="005C25BD" w:rsidRDefault="00195015" w:rsidP="00195015">
      <w:pPr>
        <w:jc w:val="both"/>
        <w:rPr>
          <w:rFonts w:ascii="Trebuchet MS" w:hAnsi="Trebuchet MS" w:cs="Arial"/>
          <w:lang w:val="es-MX" w:eastAsia="es-MX"/>
        </w:rPr>
      </w:pPr>
      <w:r w:rsidRPr="005C25BD">
        <w:rPr>
          <w:rFonts w:ascii="Trebuchet MS" w:hAnsi="Trebuchet MS" w:cs="Arial"/>
          <w:lang w:val="es-MX" w:eastAsia="es-MX"/>
        </w:rPr>
        <w:t>Artículo 4°.- La fundamentación de la negativa de matriculación o rematriculación deberá ser respondida por escrito en forma confidencial y exclusiva al requirente, en el plazo máximo de veinte (20) días hábiles de recibida la solicitud.</w:t>
      </w:r>
    </w:p>
    <w:p w14:paraId="06584F6C" w14:textId="77777777" w:rsidR="00195015" w:rsidRPr="005C25BD" w:rsidRDefault="00195015" w:rsidP="00195015">
      <w:pPr>
        <w:jc w:val="both"/>
        <w:rPr>
          <w:rFonts w:ascii="Trebuchet MS" w:hAnsi="Trebuchet MS" w:cs="Arial"/>
          <w:lang w:val="es-MX" w:eastAsia="es-MX"/>
        </w:rPr>
      </w:pPr>
    </w:p>
    <w:p w14:paraId="04EB8D52" w14:textId="77777777" w:rsidR="00195015" w:rsidRPr="005C25BD" w:rsidRDefault="00195015" w:rsidP="00195015">
      <w:pPr>
        <w:jc w:val="both"/>
        <w:rPr>
          <w:rFonts w:ascii="Trebuchet MS" w:hAnsi="Trebuchet MS" w:cs="Arial"/>
          <w:lang w:val="es-MX" w:eastAsia="es-MX"/>
        </w:rPr>
      </w:pPr>
      <w:r w:rsidRPr="005C25BD">
        <w:rPr>
          <w:rFonts w:ascii="Trebuchet MS" w:hAnsi="Trebuchet MS" w:cs="Arial"/>
          <w:lang w:val="es-MX" w:eastAsia="es-MX"/>
        </w:rPr>
        <w:lastRenderedPageBreak/>
        <w:t>Artículo 5°.- La negativa de rematriculación a un/a alumno/a deberá ser notificada por medios fehacientes antes del 31 de octubre del año anterior al ciclo lectivo requerido.</w:t>
      </w:r>
    </w:p>
    <w:p w14:paraId="5B994746" w14:textId="77777777" w:rsidR="00195015" w:rsidRPr="005C25BD" w:rsidRDefault="00195015" w:rsidP="00195015">
      <w:pPr>
        <w:jc w:val="both"/>
        <w:rPr>
          <w:rFonts w:ascii="Trebuchet MS" w:hAnsi="Trebuchet MS" w:cs="Arial"/>
          <w:lang w:val="es-MX" w:eastAsia="es-MX"/>
        </w:rPr>
      </w:pPr>
    </w:p>
    <w:p w14:paraId="22502305" w14:textId="77777777" w:rsidR="00195015" w:rsidRPr="005C25BD" w:rsidRDefault="00195015" w:rsidP="00195015">
      <w:pPr>
        <w:jc w:val="both"/>
        <w:rPr>
          <w:rFonts w:ascii="Trebuchet MS" w:hAnsi="Trebuchet MS" w:cs="Arial"/>
          <w:lang w:val="es-MX" w:eastAsia="es-MX"/>
        </w:rPr>
      </w:pPr>
      <w:r w:rsidRPr="005C25BD">
        <w:rPr>
          <w:rFonts w:ascii="Trebuchet MS" w:hAnsi="Trebuchet MS" w:cs="Arial"/>
          <w:lang w:val="es-MX" w:eastAsia="es-MX"/>
        </w:rPr>
        <w:t>Artículo 6°.- Al momento de la matriculación o rematriculación, la institución educativa deberá entregar el Proyecto Educativo Institucional y el Reglamento interno actualizado. La firma de los mismos implicará un compromiso de aceptación de ambas partes lo que no podrá contrariar a lo establecido en el artículo 2° de la presente ley.</w:t>
      </w:r>
    </w:p>
    <w:p w14:paraId="775C4171" w14:textId="77777777" w:rsidR="00195015" w:rsidRPr="005C25BD" w:rsidRDefault="00195015" w:rsidP="00195015">
      <w:pPr>
        <w:jc w:val="both"/>
        <w:rPr>
          <w:rFonts w:ascii="Trebuchet MS" w:hAnsi="Trebuchet MS" w:cs="Arial"/>
          <w:lang w:val="es-MX" w:eastAsia="es-MX"/>
        </w:rPr>
      </w:pPr>
    </w:p>
    <w:p w14:paraId="294788F5" w14:textId="77777777" w:rsidR="00195015" w:rsidRPr="005C25BD" w:rsidRDefault="00195015" w:rsidP="00195015">
      <w:pPr>
        <w:jc w:val="both"/>
        <w:rPr>
          <w:rFonts w:ascii="Trebuchet MS" w:hAnsi="Trebuchet MS" w:cs="Arial"/>
          <w:lang w:val="es-MX" w:eastAsia="es-MX"/>
        </w:rPr>
      </w:pPr>
      <w:r w:rsidRPr="005C25BD">
        <w:rPr>
          <w:rFonts w:ascii="Trebuchet MS" w:hAnsi="Trebuchet MS" w:cs="Arial"/>
          <w:lang w:val="es-MX" w:eastAsia="es-MX"/>
        </w:rPr>
        <w:t>Artículo 7°.- La autoridad de aplicación de la presente Ley será el Ministerio de Educación de la Ciudad Autónoma de Buenos Aires o el organismo que lo reemplace en sus funciones en el futuro.</w:t>
      </w:r>
      <w:r w:rsidRPr="005C25BD">
        <w:rPr>
          <w:rFonts w:ascii="Trebuchet MS" w:hAnsi="Trebuchet MS" w:cs="Arial"/>
          <w:lang w:val="es-MX" w:eastAsia="es-MX"/>
        </w:rPr>
        <w:br/>
      </w:r>
    </w:p>
    <w:p w14:paraId="385DF10D" w14:textId="77777777" w:rsidR="00195015" w:rsidRPr="005C25BD" w:rsidRDefault="00195015" w:rsidP="00195015">
      <w:pPr>
        <w:jc w:val="both"/>
        <w:rPr>
          <w:rFonts w:ascii="Trebuchet MS" w:hAnsi="Trebuchet MS" w:cs="Arial"/>
          <w:lang w:val="es-MX" w:eastAsia="es-MX"/>
        </w:rPr>
      </w:pPr>
      <w:r w:rsidRPr="005C25BD">
        <w:rPr>
          <w:rFonts w:ascii="Trebuchet MS" w:hAnsi="Trebuchet MS" w:cs="Arial"/>
          <w:lang w:val="es-MX" w:eastAsia="es-MX"/>
        </w:rPr>
        <w:t>Artículo 8°.- El Ministerio de Educación de la CABA dispondrá los mecanismos necesarios que faciliten y agilicen la recepción de reclamos y denuncias por incumplimiento de esta Ley.</w:t>
      </w:r>
    </w:p>
    <w:p w14:paraId="06F55598" w14:textId="77777777" w:rsidR="00195015" w:rsidRPr="005C25BD" w:rsidRDefault="00195015" w:rsidP="00195015">
      <w:pPr>
        <w:jc w:val="both"/>
        <w:rPr>
          <w:rFonts w:ascii="Trebuchet MS" w:hAnsi="Trebuchet MS" w:cs="Arial"/>
          <w:lang w:val="es-MX" w:eastAsia="es-MX"/>
        </w:rPr>
      </w:pPr>
    </w:p>
    <w:p w14:paraId="0CE161D8" w14:textId="77777777" w:rsidR="00195015" w:rsidRPr="005C25BD" w:rsidRDefault="00195015" w:rsidP="00195015">
      <w:pPr>
        <w:jc w:val="both"/>
        <w:rPr>
          <w:rFonts w:ascii="Trebuchet MS" w:hAnsi="Trebuchet MS" w:cs="Arial"/>
          <w:lang w:val="es-MX" w:eastAsia="es-MX"/>
        </w:rPr>
      </w:pPr>
      <w:r w:rsidRPr="005C25BD">
        <w:rPr>
          <w:rFonts w:ascii="Trebuchet MS" w:hAnsi="Trebuchet MS" w:cs="Arial"/>
          <w:lang w:val="es-MX" w:eastAsia="es-MX"/>
        </w:rPr>
        <w:t>Artículo 9°.- En caso de incumplimiento de lo establecido en la presente Ley, la autoridad de aplicación sancionará a la institución educativa mediante apercibimiento por nota, amonestación pública o en caso de reiteración, con multa de 10 (diez) y hasta 50 (cincuenta) veces el valor de la cuota promedio mensual correspondiente al año lectivo en curso.</w:t>
      </w:r>
    </w:p>
    <w:p w14:paraId="3D7342BB" w14:textId="77777777" w:rsidR="00195015" w:rsidRPr="005C25BD" w:rsidRDefault="00195015" w:rsidP="00195015">
      <w:pPr>
        <w:jc w:val="both"/>
        <w:rPr>
          <w:rFonts w:ascii="Trebuchet MS" w:hAnsi="Trebuchet MS" w:cs="Arial"/>
          <w:lang w:val="es-MX" w:eastAsia="es-MX"/>
        </w:rPr>
      </w:pPr>
    </w:p>
    <w:p w14:paraId="09D3E0AB" w14:textId="77777777" w:rsidR="00195015" w:rsidRPr="005C25BD" w:rsidRDefault="00195015" w:rsidP="00195015">
      <w:pPr>
        <w:jc w:val="both"/>
        <w:rPr>
          <w:rFonts w:ascii="Trebuchet MS" w:hAnsi="Trebuchet MS" w:cs="Arial"/>
          <w:lang w:val="es-MX" w:eastAsia="es-MX"/>
        </w:rPr>
      </w:pPr>
      <w:r w:rsidRPr="005C25BD">
        <w:rPr>
          <w:rFonts w:ascii="Trebuchet MS" w:hAnsi="Trebuchet MS" w:cs="Arial"/>
          <w:lang w:val="es-MX" w:eastAsia="es-MX"/>
        </w:rPr>
        <w:t>Artículo 10°.- La nómina de sanciones firmes que se apliquen a establecimientos educativos de gestión privada, en el marco de la presente Ley, deberán ser publicadas en el sitio de internet del Ministerio de Educación.</w:t>
      </w:r>
      <w:r w:rsidRPr="005C25BD">
        <w:rPr>
          <w:rFonts w:ascii="Trebuchet MS" w:hAnsi="Trebuchet MS" w:cs="Arial"/>
          <w:lang w:val="es-MX" w:eastAsia="es-MX"/>
        </w:rPr>
        <w:br/>
      </w:r>
    </w:p>
    <w:p w14:paraId="205EC6B5" w14:textId="77777777" w:rsidR="00195015" w:rsidRPr="005C25BD" w:rsidRDefault="00195015" w:rsidP="00195015">
      <w:pPr>
        <w:jc w:val="both"/>
        <w:rPr>
          <w:rFonts w:ascii="Trebuchet MS" w:hAnsi="Trebuchet MS" w:cs="Arial"/>
          <w:lang w:val="es-MX" w:eastAsia="es-MX"/>
        </w:rPr>
      </w:pPr>
      <w:r w:rsidRPr="005C25BD">
        <w:rPr>
          <w:rFonts w:ascii="Trebuchet MS" w:hAnsi="Trebuchet MS" w:cs="Arial"/>
          <w:lang w:val="es-MX" w:eastAsia="es-MX"/>
        </w:rPr>
        <w:t>Artículo 11°.- En el sitio de internet del Ministerio de Educación y en las carteleras de los institutos educativos de gestión privada incorporados a la enseñanza oficial será obligatoria la exhibición del texto completo de la presente Ley.</w:t>
      </w:r>
    </w:p>
    <w:p w14:paraId="6EF9C546" w14:textId="77777777" w:rsidR="00195015" w:rsidRPr="005C25BD" w:rsidRDefault="00195015" w:rsidP="00195015">
      <w:pPr>
        <w:jc w:val="both"/>
        <w:rPr>
          <w:rFonts w:ascii="Trebuchet MS" w:hAnsi="Trebuchet MS" w:cs="Arial"/>
          <w:lang w:val="es-MX" w:eastAsia="es-MX"/>
        </w:rPr>
      </w:pPr>
    </w:p>
    <w:p w14:paraId="7F11FF1E" w14:textId="77777777" w:rsidR="00195015" w:rsidRPr="005C25BD" w:rsidRDefault="00195015" w:rsidP="00195015">
      <w:pPr>
        <w:jc w:val="both"/>
        <w:rPr>
          <w:rFonts w:ascii="Trebuchet MS" w:hAnsi="Trebuchet MS" w:cs="Arial"/>
          <w:bCs/>
          <w:lang w:val="es-MX" w:eastAsia="es-MX"/>
        </w:rPr>
      </w:pPr>
      <w:r w:rsidRPr="005C25BD">
        <w:rPr>
          <w:rFonts w:ascii="Trebuchet MS" w:hAnsi="Trebuchet MS" w:cs="Arial"/>
          <w:lang w:val="es-MX" w:eastAsia="es-MX"/>
        </w:rPr>
        <w:t xml:space="preserve">Artículo 12.- Comuníquese, etc. </w:t>
      </w:r>
      <w:r w:rsidRPr="005C25BD">
        <w:rPr>
          <w:rFonts w:ascii="Trebuchet MS" w:hAnsi="Trebuchet MS" w:cs="Arial"/>
          <w:bCs/>
          <w:lang w:val="es-MX" w:eastAsia="es-MX"/>
        </w:rPr>
        <w:t>Olmos – Pérez</w:t>
      </w:r>
    </w:p>
    <w:p w14:paraId="7075294B" w14:textId="77777777" w:rsidR="00195015" w:rsidRPr="005C25BD" w:rsidRDefault="00195015" w:rsidP="00195015">
      <w:pPr>
        <w:jc w:val="both"/>
        <w:rPr>
          <w:rFonts w:ascii="Trebuchet MS" w:hAnsi="Trebuchet MS"/>
          <w:lang w:val="es-MX" w:eastAsia="es-MX"/>
        </w:rPr>
      </w:pPr>
    </w:p>
    <w:p w14:paraId="59BE04C7" w14:textId="77777777" w:rsidR="00195015" w:rsidRPr="005C25BD" w:rsidRDefault="00195015" w:rsidP="00195015">
      <w:pPr>
        <w:spacing w:line="240" w:lineRule="exact"/>
        <w:rPr>
          <w:rFonts w:ascii="Trebuchet MS" w:hAnsi="Trebuchet MS"/>
        </w:rPr>
      </w:pPr>
    </w:p>
    <w:p w14:paraId="69CA1ABC" w14:textId="77777777" w:rsidR="00195015" w:rsidRPr="00A67B9E" w:rsidRDefault="00195015" w:rsidP="00195015">
      <w:pPr>
        <w:tabs>
          <w:tab w:val="left" w:pos="567"/>
        </w:tabs>
        <w:rPr>
          <w:rFonts w:ascii="Trebuchet MS" w:hAnsi="Trebuchet MS"/>
          <w:b/>
          <w:lang w:val="es-MX"/>
        </w:rPr>
      </w:pPr>
    </w:p>
    <w:p w14:paraId="6CDB0543" w14:textId="39F7095A" w:rsidR="00592F1B" w:rsidRPr="00195015" w:rsidRDefault="00592F1B" w:rsidP="00195015"/>
    <w:sectPr w:rsidR="00592F1B" w:rsidRPr="00195015"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95015"/>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2676</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2021-05-07T11:51:00Z</dcterms:created>
  <dcterms:modified xsi:type="dcterms:W3CDTF">2021-05-07T11:51:00Z</dcterms:modified>
</cp:coreProperties>
</file>