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47D91" w14:textId="77777777" w:rsidR="007E3786" w:rsidRDefault="007E3786" w:rsidP="007E3786">
      <w:pPr>
        <w:jc w:val="center"/>
        <w:rPr>
          <w:rFonts w:ascii="Arial" w:hAnsi="Arial" w:cs="Arial"/>
          <w:b/>
          <w:color w:val="000000"/>
        </w:rPr>
      </w:pPr>
    </w:p>
    <w:p w14:paraId="366AFE28" w14:textId="77777777" w:rsidR="007E3786" w:rsidRPr="007D5D35" w:rsidRDefault="007E3786" w:rsidP="007E3786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7D5D35">
        <w:rPr>
          <w:rFonts w:ascii="Arial" w:hAnsi="Arial" w:cs="Arial"/>
          <w:b/>
          <w:color w:val="000000"/>
        </w:rPr>
        <w:t>POBLACIÓN MATERNO INFANTIL –</w:t>
      </w:r>
    </w:p>
    <w:p w14:paraId="41A52770" w14:textId="77777777" w:rsidR="007E3786" w:rsidRPr="007D5D35" w:rsidRDefault="007E3786" w:rsidP="007E3786">
      <w:pPr>
        <w:jc w:val="center"/>
        <w:rPr>
          <w:rFonts w:ascii="Arial" w:hAnsi="Arial" w:cs="Arial"/>
          <w:bCs/>
          <w:color w:val="000000"/>
        </w:rPr>
      </w:pPr>
      <w:r w:rsidRPr="007D5D35">
        <w:rPr>
          <w:rFonts w:ascii="Arial" w:hAnsi="Arial" w:cs="Arial"/>
          <w:b/>
          <w:color w:val="000000"/>
        </w:rPr>
        <w:t xml:space="preserve"> ATENCIÓN DOMICILIARIA LAS 24 HORAS - DERECHO</w:t>
      </w:r>
    </w:p>
    <w:p w14:paraId="77E6C488" w14:textId="77777777" w:rsidR="007E3786" w:rsidRPr="007D5D35" w:rsidRDefault="007E3786" w:rsidP="007E3786">
      <w:pPr>
        <w:jc w:val="center"/>
        <w:rPr>
          <w:rFonts w:ascii="Arial" w:hAnsi="Arial" w:cs="Arial"/>
          <w:b/>
          <w:bCs/>
          <w:color w:val="000000"/>
        </w:rPr>
      </w:pPr>
    </w:p>
    <w:p w14:paraId="6B0E953B" w14:textId="77777777" w:rsidR="007E3786" w:rsidRPr="007D5D35" w:rsidRDefault="007E3786" w:rsidP="007E3786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7D5D35">
        <w:rPr>
          <w:rFonts w:ascii="Trebuchet MS" w:hAnsi="Trebuchet MS"/>
          <w:b/>
        </w:rPr>
        <w:t xml:space="preserve">LEGISLATURA DE LA CIUDAD AUTÓNOMA DE </w:t>
      </w:r>
      <w:proofErr w:type="gramStart"/>
      <w:r w:rsidRPr="007D5D35">
        <w:rPr>
          <w:rFonts w:ascii="Trebuchet MS" w:hAnsi="Trebuchet MS"/>
          <w:b/>
        </w:rPr>
        <w:t>BUENOS AIRES</w:t>
      </w:r>
      <w:proofErr w:type="gramEnd"/>
    </w:p>
    <w:p w14:paraId="297FF424" w14:textId="77777777" w:rsidR="007E3786" w:rsidRPr="007D5D35" w:rsidRDefault="007E3786" w:rsidP="007E3786">
      <w:pPr>
        <w:jc w:val="center"/>
        <w:rPr>
          <w:rFonts w:ascii="Arial" w:hAnsi="Arial" w:cs="Arial"/>
          <w:b/>
          <w:bCs/>
          <w:color w:val="000000"/>
        </w:rPr>
      </w:pPr>
    </w:p>
    <w:p w14:paraId="2CC5DEB9" w14:textId="77777777" w:rsidR="007E3786" w:rsidRPr="007D5D35" w:rsidRDefault="007E3786" w:rsidP="007E3786">
      <w:pPr>
        <w:jc w:val="center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/>
          <w:bCs/>
          <w:color w:val="000000"/>
        </w:rPr>
        <w:t>LEY N° 2.987</w:t>
      </w:r>
    </w:p>
    <w:p w14:paraId="3DFE2A49" w14:textId="77777777" w:rsidR="007E3786" w:rsidRPr="007D5D35" w:rsidRDefault="007E3786" w:rsidP="007E3786">
      <w:pPr>
        <w:keepNext/>
        <w:tabs>
          <w:tab w:val="left" w:pos="8222"/>
        </w:tabs>
        <w:jc w:val="right"/>
        <w:outlineLvl w:val="0"/>
        <w:rPr>
          <w:rFonts w:ascii="Tahoma" w:hAnsi="Tahoma"/>
          <w:color w:val="FFFFFF"/>
          <w:highlight w:val="black"/>
        </w:rPr>
      </w:pPr>
    </w:p>
    <w:p w14:paraId="5AA90C82" w14:textId="77777777" w:rsidR="007E3786" w:rsidRPr="007D5D35" w:rsidRDefault="007E3786" w:rsidP="007E3786">
      <w:pPr>
        <w:jc w:val="right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color w:val="000000"/>
        </w:rPr>
        <w:t>Buenos Aires, 11 de diciembre de 2008</w:t>
      </w:r>
      <w:proofErr w:type="gramStart"/>
      <w:r w:rsidRPr="007D5D35">
        <w:rPr>
          <w:rFonts w:ascii="Arial" w:hAnsi="Arial" w:cs="Arial"/>
          <w:color w:val="000000"/>
        </w:rPr>
        <w:t>.-</w:t>
      </w:r>
      <w:proofErr w:type="gramEnd"/>
    </w:p>
    <w:p w14:paraId="2251B6D6" w14:textId="77777777" w:rsidR="007E3786" w:rsidRDefault="007E3786" w:rsidP="007E3786">
      <w:pPr>
        <w:rPr>
          <w:rFonts w:ascii="Trebuchet MS" w:hAnsi="Trebuchet MS"/>
          <w:b/>
          <w:bCs/>
        </w:rPr>
      </w:pPr>
    </w:p>
    <w:p w14:paraId="33E000E4" w14:textId="77777777" w:rsidR="007E3786" w:rsidRPr="007D5D35" w:rsidRDefault="007E3786" w:rsidP="007E3786">
      <w:pPr>
        <w:rPr>
          <w:rFonts w:ascii="Trebuchet MS" w:hAnsi="Trebuchet MS"/>
          <w:b/>
          <w:bCs/>
        </w:rPr>
      </w:pPr>
    </w:p>
    <w:p w14:paraId="338EF9CE" w14:textId="77777777" w:rsidR="007E3786" w:rsidRPr="007D5D35" w:rsidRDefault="007E3786" w:rsidP="007E3786">
      <w:pPr>
        <w:keepNext/>
        <w:jc w:val="center"/>
        <w:outlineLvl w:val="0"/>
        <w:rPr>
          <w:rFonts w:ascii="Trebuchet MS" w:hAnsi="Trebuchet MS"/>
          <w:b/>
          <w:bCs/>
        </w:rPr>
      </w:pPr>
      <w:r w:rsidRPr="007D5D35">
        <w:rPr>
          <w:rFonts w:ascii="Trebuchet MS" w:hAnsi="Trebuchet MS"/>
          <w:b/>
          <w:bCs/>
        </w:rPr>
        <w:t>La Legislatura de la Ciudad Autónoma de Buenos Aires</w:t>
      </w:r>
    </w:p>
    <w:p w14:paraId="0F12188C" w14:textId="77777777" w:rsidR="007E3786" w:rsidRDefault="007E3786" w:rsidP="007E3786">
      <w:pPr>
        <w:jc w:val="center"/>
        <w:rPr>
          <w:rFonts w:ascii="Trebuchet MS" w:hAnsi="Trebuchet MS" w:cs="Arial"/>
          <w:b/>
          <w:bCs/>
          <w:color w:val="000000"/>
        </w:rPr>
      </w:pPr>
      <w:proofErr w:type="gramStart"/>
      <w:r w:rsidRPr="007D5D35">
        <w:rPr>
          <w:rFonts w:ascii="Trebuchet MS" w:hAnsi="Trebuchet MS"/>
          <w:b/>
          <w:bCs/>
        </w:rPr>
        <w:t>sanciona</w:t>
      </w:r>
      <w:proofErr w:type="gramEnd"/>
      <w:r w:rsidRPr="007D5D35">
        <w:rPr>
          <w:rFonts w:ascii="Trebuchet MS" w:hAnsi="Trebuchet MS"/>
          <w:b/>
          <w:bCs/>
        </w:rPr>
        <w:t xml:space="preserve"> con fuerza de Ley</w:t>
      </w:r>
    </w:p>
    <w:p w14:paraId="44447BFD" w14:textId="77777777" w:rsidR="007E3786" w:rsidRDefault="007E3786" w:rsidP="007E3786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12557D8B" w14:textId="77777777" w:rsidR="007E3786" w:rsidRPr="007D5D35" w:rsidRDefault="007E3786" w:rsidP="007E3786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74BDEECC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Trebuchet MS" w:hAnsi="Trebuchet MS" w:cs="Arial"/>
          <w:bCs/>
          <w:color w:val="000000"/>
        </w:rPr>
        <w:t>Artículo 1°</w:t>
      </w:r>
      <w:proofErr w:type="gramStart"/>
      <w:r w:rsidRPr="007D5D35">
        <w:rPr>
          <w:rFonts w:ascii="Trebuchet MS" w:hAnsi="Trebuchet MS" w:cs="Arial"/>
          <w:bCs/>
          <w:color w:val="000000"/>
        </w:rPr>
        <w:t>.-</w:t>
      </w:r>
      <w:proofErr w:type="gramEnd"/>
      <w:r w:rsidRPr="007D5D35">
        <w:rPr>
          <w:rFonts w:ascii="Trebuchet MS" w:hAnsi="Trebuchet MS" w:cs="Arial"/>
          <w:color w:val="000000"/>
        </w:rPr>
        <w:t xml:space="preserve"> Objeto: La presente Ley tiene por objeto garantizar el derecho de la población materno infantil de la Ciudad Autónoma de Buenos Aires a la atención domiciliaria las veinticuatro (24) horas, extendiendo la cobertura que actualmente brindan los servicios “Pediatra en Casa” y “0-800-MAMA” reglamentados</w:t>
      </w:r>
      <w:r w:rsidRPr="007D5D35">
        <w:rPr>
          <w:rFonts w:ascii="Arial" w:hAnsi="Arial" w:cs="Arial"/>
          <w:color w:val="000000"/>
        </w:rPr>
        <w:t xml:space="preserve"> por la Resolución 772/01 y conforme a lo establecido en la Ley N° 153.</w:t>
      </w:r>
    </w:p>
    <w:p w14:paraId="357EF5E1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</w:p>
    <w:p w14:paraId="62AB969F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2°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Ámbito de Aplicación: Quedan comprendidos en la presente Ley todas las mujeres embarazadas y en período de lactancia, así como toda la población de niños y niñas de 0 a 14 años, residentes en la Ciudad Autónoma de Buenos Aires.</w:t>
      </w:r>
    </w:p>
    <w:p w14:paraId="6BBE4274" w14:textId="77777777" w:rsidR="007E3786" w:rsidRPr="007D5D35" w:rsidRDefault="007E3786" w:rsidP="007E3786">
      <w:pPr>
        <w:jc w:val="both"/>
        <w:rPr>
          <w:rFonts w:ascii="Arial" w:hAnsi="Arial" w:cs="Arial"/>
          <w:bCs/>
          <w:color w:val="000000"/>
        </w:rPr>
      </w:pPr>
    </w:p>
    <w:p w14:paraId="7D083D2B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3°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Autoridad de Aplicación: La autoridad de aplicación de la presente Ley es el Ministerio de Salud.</w:t>
      </w:r>
    </w:p>
    <w:p w14:paraId="401FA384" w14:textId="77777777" w:rsidR="007E3786" w:rsidRPr="007D5D35" w:rsidRDefault="007E3786" w:rsidP="007E3786">
      <w:pPr>
        <w:jc w:val="both"/>
        <w:rPr>
          <w:rFonts w:ascii="Arial" w:hAnsi="Arial" w:cs="Arial"/>
          <w:bCs/>
          <w:color w:val="000000"/>
        </w:rPr>
      </w:pPr>
    </w:p>
    <w:p w14:paraId="18D0D366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4°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Servicios: La autoridad de aplicación garantizará a los habitantes comprendidos por el artículo 2° de la presente Ley la atención domiciliaria, personalizada y gratuita. </w:t>
      </w:r>
      <w:proofErr w:type="gramStart"/>
      <w:r w:rsidRPr="007D5D35">
        <w:rPr>
          <w:rFonts w:ascii="Arial" w:hAnsi="Arial" w:cs="Arial"/>
          <w:color w:val="000000"/>
        </w:rPr>
        <w:t>Asimismo se ampliará la atención domiciliaria nocturna de los servicios Pediatra en Casa y la atención telefónica del servicio Perinatal a las 24hs.</w:t>
      </w:r>
      <w:proofErr w:type="gramEnd"/>
      <w:r w:rsidRPr="007D5D35">
        <w:rPr>
          <w:rFonts w:ascii="Arial" w:hAnsi="Arial" w:cs="Arial"/>
          <w:color w:val="000000"/>
        </w:rPr>
        <w:t xml:space="preserve"> La autoridad de aplicación, a través de la Coordinación General del Servicio de Pediatra en Casa, elevará las necesidades de la cantidad de pediatras y obstetras pertenecientes al sistema público, a seleccionar por concurso, para llevar a cabo la extensión del horario.</w:t>
      </w:r>
    </w:p>
    <w:p w14:paraId="1E4ABEBB" w14:textId="77777777" w:rsidR="007E3786" w:rsidRPr="007D5D35" w:rsidRDefault="007E3786" w:rsidP="007E3786">
      <w:pPr>
        <w:tabs>
          <w:tab w:val="left" w:pos="5415"/>
        </w:tabs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ab/>
      </w:r>
    </w:p>
    <w:p w14:paraId="3483DB22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5°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Presupuesto: Los gastos que demande la aplicación de la presente Ley se imputarán a las partidas presupuestarias correspondientes.</w:t>
      </w:r>
    </w:p>
    <w:p w14:paraId="417A80F7" w14:textId="77777777" w:rsidR="007E3786" w:rsidRPr="007D5D35" w:rsidRDefault="007E3786" w:rsidP="007E3786">
      <w:pPr>
        <w:jc w:val="both"/>
        <w:rPr>
          <w:rFonts w:ascii="Arial" w:hAnsi="Arial" w:cs="Arial"/>
          <w:bCs/>
          <w:color w:val="000000"/>
        </w:rPr>
      </w:pPr>
    </w:p>
    <w:p w14:paraId="13B266DD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6°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Campañas de Difusión: La autoridad de aplicación arbitrará las medidas necesarias para brindar los servicios mencionados precedentemente a todos los habitantes indicados en el artículo 2° de la presente Ley. A </w:t>
      </w:r>
      <w:proofErr w:type="gramStart"/>
      <w:r w:rsidRPr="007D5D35">
        <w:rPr>
          <w:rFonts w:ascii="Arial" w:hAnsi="Arial" w:cs="Arial"/>
          <w:color w:val="000000"/>
        </w:rPr>
        <w:t>tal</w:t>
      </w:r>
      <w:proofErr w:type="gramEnd"/>
      <w:r w:rsidRPr="007D5D35">
        <w:rPr>
          <w:rFonts w:ascii="Arial" w:hAnsi="Arial" w:cs="Arial"/>
          <w:color w:val="000000"/>
        </w:rPr>
        <w:t xml:space="preserve"> fin, desarrollará programas de difusión pública dirigidos a brindar información sobre dichos servicios.</w:t>
      </w:r>
    </w:p>
    <w:p w14:paraId="3E20EBAD" w14:textId="77777777" w:rsidR="007E3786" w:rsidRPr="007D5D35" w:rsidRDefault="007E3786" w:rsidP="007E3786">
      <w:pPr>
        <w:jc w:val="both"/>
        <w:rPr>
          <w:rFonts w:ascii="Arial" w:hAnsi="Arial" w:cs="Arial"/>
          <w:bCs/>
          <w:color w:val="000000"/>
        </w:rPr>
      </w:pPr>
    </w:p>
    <w:p w14:paraId="0FFE18F4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7°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Reglamentación: El Poder Ejecutivo procederá a reglamentar la presente Ley en el plazo de sesenta (60) días de su promulgación.</w:t>
      </w:r>
    </w:p>
    <w:p w14:paraId="220FF899" w14:textId="77777777" w:rsidR="007E3786" w:rsidRPr="007D5D35" w:rsidRDefault="007E3786" w:rsidP="007E3786">
      <w:pPr>
        <w:jc w:val="both"/>
        <w:rPr>
          <w:rFonts w:ascii="Arial" w:hAnsi="Arial" w:cs="Arial"/>
          <w:bCs/>
          <w:color w:val="000000"/>
        </w:rPr>
      </w:pPr>
    </w:p>
    <w:p w14:paraId="59C0C2A6" w14:textId="77777777" w:rsidR="007E3786" w:rsidRPr="007D5D35" w:rsidRDefault="007E3786" w:rsidP="007E3786">
      <w:pPr>
        <w:jc w:val="both"/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8°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Seguimiento: El Ministerio de Salud de la Ciudad Autónoma de Buenos Aires, debe remitir semestralmente, un informe sobre la implementación de la presente Ley a la Legislatura de la Ciudad Autónoma de Buenos Aires con las estadísticas correspondientes del funcionamiento de ambos servicios.</w:t>
      </w:r>
    </w:p>
    <w:p w14:paraId="52F83591" w14:textId="77777777" w:rsidR="007E3786" w:rsidRPr="007D5D35" w:rsidRDefault="007E3786" w:rsidP="007E3786">
      <w:pPr>
        <w:rPr>
          <w:rFonts w:ascii="Arial" w:hAnsi="Arial" w:cs="Arial"/>
          <w:bCs/>
          <w:color w:val="000000"/>
        </w:rPr>
      </w:pPr>
    </w:p>
    <w:p w14:paraId="172BDEA9" w14:textId="77777777" w:rsidR="007E3786" w:rsidRDefault="007E3786" w:rsidP="007E3786">
      <w:pPr>
        <w:rPr>
          <w:rFonts w:ascii="Arial" w:hAnsi="Arial" w:cs="Arial"/>
          <w:color w:val="000000"/>
        </w:rPr>
      </w:pPr>
      <w:r w:rsidRPr="007D5D35">
        <w:rPr>
          <w:rFonts w:ascii="Arial" w:hAnsi="Arial" w:cs="Arial"/>
          <w:bCs/>
          <w:color w:val="000000"/>
        </w:rPr>
        <w:t>Artículo 9°</w:t>
      </w:r>
      <w:proofErr w:type="gramStart"/>
      <w:r w:rsidRPr="007D5D35">
        <w:rPr>
          <w:rFonts w:ascii="Arial" w:hAnsi="Arial" w:cs="Arial"/>
          <w:bCs/>
          <w:color w:val="000000"/>
        </w:rPr>
        <w:t>.</w:t>
      </w:r>
      <w:r w:rsidRPr="007D5D35">
        <w:rPr>
          <w:rFonts w:ascii="Arial" w:hAnsi="Arial" w:cs="Arial"/>
          <w:color w:val="000000"/>
        </w:rPr>
        <w:t>-</w:t>
      </w:r>
      <w:proofErr w:type="gramEnd"/>
      <w:r w:rsidRPr="007D5D35">
        <w:rPr>
          <w:rFonts w:ascii="Arial" w:hAnsi="Arial" w:cs="Arial"/>
          <w:color w:val="000000"/>
        </w:rPr>
        <w:t xml:space="preserve"> Comuníquese, etc.</w:t>
      </w:r>
    </w:p>
    <w:p w14:paraId="0909AADA" w14:textId="77777777" w:rsidR="007E3786" w:rsidRPr="007D5D35" w:rsidRDefault="007E3786" w:rsidP="007E3786">
      <w:pPr>
        <w:rPr>
          <w:rFonts w:ascii="Arial" w:hAnsi="Arial" w:cs="Arial"/>
          <w:color w:val="000000"/>
        </w:rPr>
      </w:pPr>
    </w:p>
    <w:p w14:paraId="52EC1C2D" w14:textId="77777777" w:rsidR="007E3786" w:rsidRPr="007D5D35" w:rsidRDefault="007E3786" w:rsidP="007E3786">
      <w:pPr>
        <w:jc w:val="right"/>
        <w:rPr>
          <w:rFonts w:ascii="Trebuchet MS" w:hAnsi="Trebuchet MS"/>
        </w:rPr>
      </w:pPr>
      <w:r w:rsidRPr="007D5D35">
        <w:rPr>
          <w:rFonts w:ascii="Trebuchet MS" w:hAnsi="Trebuchet MS"/>
        </w:rPr>
        <w:t xml:space="preserve">DIEGO SANTILLI </w:t>
      </w:r>
    </w:p>
    <w:p w14:paraId="4701BFEA" w14:textId="77777777" w:rsidR="007E3786" w:rsidRPr="007D5D35" w:rsidRDefault="007E3786" w:rsidP="007E3786">
      <w:pPr>
        <w:jc w:val="right"/>
        <w:rPr>
          <w:rFonts w:ascii="Trebuchet MS" w:hAnsi="Trebuchet MS"/>
        </w:rPr>
      </w:pPr>
      <w:r w:rsidRPr="007D5D35">
        <w:rPr>
          <w:rFonts w:ascii="Trebuchet MS" w:hAnsi="Trebuchet MS"/>
        </w:rPr>
        <w:t xml:space="preserve">CARLOS PÉREZ </w:t>
      </w:r>
    </w:p>
    <w:p w14:paraId="292C5E7C" w14:textId="77777777" w:rsidR="007E3786" w:rsidRPr="007D5D35" w:rsidRDefault="007E3786" w:rsidP="007E3786">
      <w:pPr>
        <w:rPr>
          <w:rFonts w:ascii="Trebuchet MS" w:hAnsi="Trebuchet MS"/>
        </w:rPr>
      </w:pPr>
    </w:p>
    <w:p w14:paraId="263172CC" w14:textId="77777777" w:rsidR="007E3786" w:rsidRPr="00A67B9E" w:rsidRDefault="007E3786" w:rsidP="007E3786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E3786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2021-05-07T11:40:00Z</dcterms:created>
  <dcterms:modified xsi:type="dcterms:W3CDTF">2021-05-07T11:40:00Z</dcterms:modified>
</cp:coreProperties>
</file>