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DFB90" w14:textId="77777777" w:rsidR="006B5D1B" w:rsidRDefault="006B5D1B" w:rsidP="006B5D1B">
      <w:pPr>
        <w:jc w:val="center"/>
        <w:rPr>
          <w:rFonts w:ascii="Trebuchet MS" w:hAnsi="Trebuchet MS"/>
          <w:b/>
        </w:rPr>
      </w:pPr>
    </w:p>
    <w:p w14:paraId="4463F0F9" w14:textId="77777777" w:rsidR="006B5D1B" w:rsidRPr="00FE41D3" w:rsidRDefault="006B5D1B" w:rsidP="006B5D1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lang w:val="es-AR"/>
        </w:rPr>
      </w:pPr>
      <w:bookmarkStart w:id="0" w:name="_GoBack"/>
      <w:bookmarkEnd w:id="0"/>
      <w:r w:rsidRPr="00FE41D3">
        <w:rPr>
          <w:rFonts w:ascii="Trebuchet MS" w:hAnsi="Trebuchet MS"/>
          <w:b/>
          <w:lang w:val="es-AR"/>
        </w:rPr>
        <w:t>PROPIEDAD INTELECTUAL</w:t>
      </w:r>
    </w:p>
    <w:p w14:paraId="49205AF8" w14:textId="77777777" w:rsidR="006B5D1B" w:rsidRPr="00FE41D3" w:rsidRDefault="006B5D1B" w:rsidP="006B5D1B">
      <w:pPr>
        <w:jc w:val="center"/>
        <w:rPr>
          <w:rFonts w:ascii="Trebuchet MS" w:hAnsi="Trebuchet MS"/>
        </w:rPr>
      </w:pPr>
    </w:p>
    <w:p w14:paraId="794EC61D" w14:textId="77777777" w:rsidR="006B5D1B" w:rsidRPr="00FE41D3" w:rsidRDefault="006B5D1B" w:rsidP="006B5D1B">
      <w:pPr>
        <w:jc w:val="center"/>
        <w:rPr>
          <w:rFonts w:ascii="Trebuchet MS" w:hAnsi="Trebuchet MS"/>
        </w:rPr>
      </w:pPr>
    </w:p>
    <w:p w14:paraId="5E13478F" w14:textId="77777777" w:rsidR="006B5D1B" w:rsidRPr="00FE41D3" w:rsidRDefault="006B5D1B" w:rsidP="006B5D1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caps/>
          <w:lang w:val="es-AR"/>
        </w:rPr>
      </w:pPr>
      <w:r w:rsidRPr="00FE41D3">
        <w:rPr>
          <w:rFonts w:ascii="Trebuchet MS" w:hAnsi="Trebuchet MS"/>
          <w:b/>
          <w:caps/>
          <w:lang w:val="es-AR"/>
        </w:rPr>
        <w:t>Ley  Nº 25.036</w:t>
      </w:r>
    </w:p>
    <w:p w14:paraId="24AD3110" w14:textId="77777777" w:rsidR="006B5D1B" w:rsidRPr="00FE41D3" w:rsidRDefault="006B5D1B" w:rsidP="006B5D1B">
      <w:pPr>
        <w:rPr>
          <w:rFonts w:ascii="Trebuchet MS" w:hAnsi="Trebuchet MS"/>
        </w:rPr>
      </w:pPr>
    </w:p>
    <w:p w14:paraId="233FECCF" w14:textId="77777777" w:rsidR="006B5D1B" w:rsidRPr="00FE41D3" w:rsidRDefault="006B5D1B" w:rsidP="006B5D1B">
      <w:pPr>
        <w:jc w:val="both"/>
        <w:rPr>
          <w:rFonts w:ascii="Trebuchet MS" w:hAnsi="Trebuchet MS"/>
        </w:rPr>
      </w:pPr>
      <w:proofErr w:type="gramStart"/>
      <w:r w:rsidRPr="00FE41D3">
        <w:rPr>
          <w:rFonts w:ascii="Trebuchet MS" w:hAnsi="Trebuchet MS"/>
        </w:rPr>
        <w:t>Modificanse los artículos 1º, 4º, 9º y 57 e incorpórase el artículo 55 bis a la ley Nº 11.723.</w:t>
      </w:r>
      <w:proofErr w:type="gramEnd"/>
      <w:r w:rsidRPr="00FE41D3">
        <w:rPr>
          <w:rFonts w:ascii="Trebuchet MS" w:hAnsi="Trebuchet MS"/>
        </w:rPr>
        <w:t xml:space="preserve"> </w:t>
      </w:r>
    </w:p>
    <w:p w14:paraId="666C8B4D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6D28FB76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5843CCAF" w14:textId="77777777" w:rsidR="006B5D1B" w:rsidRPr="00FE41D3" w:rsidRDefault="006B5D1B" w:rsidP="006B5D1B">
      <w:pPr>
        <w:spacing w:line="360" w:lineRule="auto"/>
        <w:ind w:firstLine="708"/>
        <w:jc w:val="center"/>
        <w:rPr>
          <w:rFonts w:ascii="Trebuchet MS" w:hAnsi="Trebuchet MS"/>
          <w:b/>
        </w:rPr>
      </w:pPr>
      <w:r w:rsidRPr="00FE41D3">
        <w:rPr>
          <w:rFonts w:ascii="Trebuchet MS" w:hAnsi="Trebuchet MS"/>
          <w:b/>
        </w:rPr>
        <w:t>EL SENADO Y LA CÁMARA DE DIPUTADOS DE LA NACIÓN ARGENTINA REUNIDOS EN EL CONGRESO, ETC., SANCIONAN CON FUERZA DE LEY:</w:t>
      </w:r>
    </w:p>
    <w:p w14:paraId="3C10484A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57B21C3E" w14:textId="77777777" w:rsidR="006B5D1B" w:rsidRPr="00FE41D3" w:rsidRDefault="006B5D1B" w:rsidP="006B5D1B">
      <w:pPr>
        <w:ind w:firstLine="708"/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1º- Modifícase el artículo 1º de la Ley 11.723, el que quedará redactado de la siguiente manera:</w:t>
      </w:r>
    </w:p>
    <w:p w14:paraId="66F25CCC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1º</w:t>
      </w:r>
      <w:proofErr w:type="gramStart"/>
      <w:r w:rsidRPr="00FE41D3">
        <w:rPr>
          <w:rFonts w:ascii="Trebuchet MS" w:hAnsi="Trebuchet MS"/>
        </w:rPr>
        <w:t>.-</w:t>
      </w:r>
      <w:proofErr w:type="gramEnd"/>
      <w:r w:rsidRPr="00FE41D3">
        <w:rPr>
          <w:rFonts w:ascii="Trebuchet MS" w:hAnsi="Trebuchet MS"/>
        </w:rPr>
        <w:t xml:space="preserve"> A los efectos de la presente ley, las obras científicas, literarias y artísticas comprenden los escritos de toda naturaleza y extensión, entre ellos los programas de computación fuente y objeto; las complicaciones de datos o de otros materiales; las obras dramáticas, composiciones musicales; las cinematográficas, coreográficas y pantomímicas; las obras de dibujo, pintura, escultura, arquitectura; modelos obra de arte o ciencia aplicadas al comercio o a la industria; los impresos, planos y mapas; los plásticos, fotografías grabados y fonogramas; en fin, toda producción científicas, literarias, artística o didáctica, sea cual fuere el procedimiento de reproducción.</w:t>
      </w:r>
    </w:p>
    <w:p w14:paraId="7ADEFBFC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La protección del derecho de autor abarcará la expresión de ideas, procedimientos, métodos de operación y concepto matemáticos pero no esas ideas, procedimientos, métodos y conceptos en sí.</w:t>
      </w:r>
    </w:p>
    <w:p w14:paraId="5775F8BE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63D47726" w14:textId="77777777" w:rsidR="006B5D1B" w:rsidRPr="00FE41D3" w:rsidRDefault="006B5D1B" w:rsidP="006B5D1B">
      <w:pPr>
        <w:ind w:firstLine="708"/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2º</w:t>
      </w:r>
      <w:proofErr w:type="gramStart"/>
      <w:r w:rsidRPr="00FE41D3">
        <w:rPr>
          <w:rFonts w:ascii="Trebuchet MS" w:hAnsi="Trebuchet MS"/>
        </w:rPr>
        <w:t>.-</w:t>
      </w:r>
      <w:proofErr w:type="gramEnd"/>
      <w:r w:rsidRPr="00FE41D3">
        <w:rPr>
          <w:rFonts w:ascii="Trebuchet MS" w:hAnsi="Trebuchet MS"/>
        </w:rPr>
        <w:t xml:space="preserve"> Incorpórase como inciso d) del artículo 4º de la ley 11.723 el siguiente texto:</w:t>
      </w:r>
    </w:p>
    <w:p w14:paraId="68EBDCBF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4º-....</w:t>
      </w:r>
    </w:p>
    <w:p w14:paraId="3B807376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 xml:space="preserve">d) Las personas físicas o jurídicas cuyos dependientes contratos para elaborar </w:t>
      </w:r>
      <w:proofErr w:type="gramStart"/>
      <w:r w:rsidRPr="00FE41D3">
        <w:rPr>
          <w:rFonts w:ascii="Trebuchet MS" w:hAnsi="Trebuchet MS"/>
        </w:rPr>
        <w:t>un</w:t>
      </w:r>
      <w:proofErr w:type="gramEnd"/>
      <w:r w:rsidRPr="00FE41D3">
        <w:rPr>
          <w:rFonts w:ascii="Trebuchet MS" w:hAnsi="Trebuchet MS"/>
        </w:rPr>
        <w:t xml:space="preserve"> programa de computación hubiesen producido un programa de computación en el desempeño de sus funciones laborales, salvo estipulación en contrario.</w:t>
      </w:r>
    </w:p>
    <w:p w14:paraId="49DA5B2C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58E870A3" w14:textId="77777777" w:rsidR="006B5D1B" w:rsidRPr="00FE41D3" w:rsidRDefault="006B5D1B" w:rsidP="006B5D1B">
      <w:pPr>
        <w:ind w:firstLine="708"/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3º</w:t>
      </w:r>
      <w:proofErr w:type="gramStart"/>
      <w:r w:rsidRPr="00FE41D3">
        <w:rPr>
          <w:rFonts w:ascii="Trebuchet MS" w:hAnsi="Trebuchet MS"/>
        </w:rPr>
        <w:t>.-</w:t>
      </w:r>
      <w:proofErr w:type="gramEnd"/>
      <w:r w:rsidRPr="00FE41D3">
        <w:rPr>
          <w:rFonts w:ascii="Trebuchet MS" w:hAnsi="Trebuchet MS"/>
        </w:rPr>
        <w:t xml:space="preserve"> Incorpórese como segundo párrafo del artículo 9º de la ley 11.723 el siguiente texto:</w:t>
      </w:r>
    </w:p>
    <w:p w14:paraId="68360C42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9º-....</w:t>
      </w:r>
    </w:p>
    <w:p w14:paraId="7C812128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lastRenderedPageBreak/>
        <w:t xml:space="preserve">Quien haya recibido de los autores o de sus derechos-habientes de </w:t>
      </w:r>
      <w:proofErr w:type="gramStart"/>
      <w:r w:rsidRPr="00FE41D3">
        <w:rPr>
          <w:rFonts w:ascii="Trebuchet MS" w:hAnsi="Trebuchet MS"/>
        </w:rPr>
        <w:t>un</w:t>
      </w:r>
      <w:proofErr w:type="gramEnd"/>
      <w:r w:rsidRPr="00FE41D3">
        <w:rPr>
          <w:rFonts w:ascii="Trebuchet MS" w:hAnsi="Trebuchet MS"/>
        </w:rPr>
        <w:t xml:space="preserve"> programa de computación una licencia para usuario, podrá reproducir una única copia de salvaguardia de los ejemplares originales del mismo.</w:t>
      </w:r>
    </w:p>
    <w:p w14:paraId="00E1EBEE" w14:textId="77777777" w:rsidR="006B5D1B" w:rsidRPr="00FE41D3" w:rsidRDefault="006B5D1B" w:rsidP="006B5D1B">
      <w:pPr>
        <w:jc w:val="both"/>
        <w:rPr>
          <w:rFonts w:ascii="Trebuchet MS" w:hAnsi="Trebuchet MS"/>
        </w:rPr>
      </w:pPr>
      <w:proofErr w:type="gramStart"/>
      <w:r w:rsidRPr="00FE41D3">
        <w:rPr>
          <w:rFonts w:ascii="Trebuchet MS" w:hAnsi="Trebuchet MS"/>
        </w:rPr>
        <w:t>Dicha copia deberá estar debidamente identificada, con indicación del licenciado que realizo la copia y la fecha de la misma.</w:t>
      </w:r>
      <w:proofErr w:type="gramEnd"/>
      <w:r w:rsidRPr="00FE41D3">
        <w:rPr>
          <w:rFonts w:ascii="Trebuchet MS" w:hAnsi="Trebuchet MS"/>
        </w:rPr>
        <w:t xml:space="preserve"> La copia de salvaguardia no podrá ser utilizada para otra finalidad que la de reemplazar el ejemplar original del programa de computación licenciado si </w:t>
      </w:r>
      <w:proofErr w:type="gramStart"/>
      <w:r w:rsidRPr="00FE41D3">
        <w:rPr>
          <w:rFonts w:ascii="Trebuchet MS" w:hAnsi="Trebuchet MS"/>
        </w:rPr>
        <w:t>ese</w:t>
      </w:r>
      <w:proofErr w:type="gramEnd"/>
      <w:r w:rsidRPr="00FE41D3">
        <w:rPr>
          <w:rFonts w:ascii="Trebuchet MS" w:hAnsi="Trebuchet MS"/>
        </w:rPr>
        <w:t xml:space="preserve"> original del programa se pierde o deviene inútil para su utilización.</w:t>
      </w:r>
    </w:p>
    <w:p w14:paraId="7624A841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7757B88D" w14:textId="77777777" w:rsidR="006B5D1B" w:rsidRPr="00FE41D3" w:rsidRDefault="006B5D1B" w:rsidP="006B5D1B">
      <w:pPr>
        <w:ind w:firstLine="708"/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4</w:t>
      </w:r>
      <w:proofErr w:type="gramStart"/>
      <w:r w:rsidRPr="00FE41D3">
        <w:rPr>
          <w:rFonts w:ascii="Trebuchet MS" w:hAnsi="Trebuchet MS"/>
        </w:rPr>
        <w:t>.-</w:t>
      </w:r>
      <w:proofErr w:type="gramEnd"/>
      <w:r w:rsidRPr="00FE41D3">
        <w:rPr>
          <w:rFonts w:ascii="Trebuchet MS" w:hAnsi="Trebuchet MS"/>
        </w:rPr>
        <w:t xml:space="preserve"> Incorpórarse como artículo 55 bis de la ley 11.723 el siguiente texto:</w:t>
      </w:r>
    </w:p>
    <w:p w14:paraId="7B4FF706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 xml:space="preserve">Artículo 55 bis: La explotación de la propiedad intelectual sobre los programas de computación incluirá entre otras formas los contratos de licencia para su </w:t>
      </w:r>
      <w:proofErr w:type="gramStart"/>
      <w:r w:rsidRPr="00FE41D3">
        <w:rPr>
          <w:rFonts w:ascii="Trebuchet MS" w:hAnsi="Trebuchet MS"/>
        </w:rPr>
        <w:t>uso</w:t>
      </w:r>
      <w:proofErr w:type="gramEnd"/>
      <w:r w:rsidRPr="00FE41D3">
        <w:rPr>
          <w:rFonts w:ascii="Trebuchet MS" w:hAnsi="Trebuchet MS"/>
        </w:rPr>
        <w:t xml:space="preserve"> o reproducción.</w:t>
      </w:r>
    </w:p>
    <w:p w14:paraId="45C4A07C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234D7FE7" w14:textId="77777777" w:rsidR="006B5D1B" w:rsidRPr="00FE41D3" w:rsidRDefault="006B5D1B" w:rsidP="006B5D1B">
      <w:pPr>
        <w:ind w:firstLine="708"/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5º</w:t>
      </w:r>
      <w:proofErr w:type="gramStart"/>
      <w:r w:rsidRPr="00FE41D3">
        <w:rPr>
          <w:rFonts w:ascii="Trebuchet MS" w:hAnsi="Trebuchet MS"/>
        </w:rPr>
        <w:t>.-</w:t>
      </w:r>
      <w:proofErr w:type="gramEnd"/>
      <w:r w:rsidRPr="00FE41D3">
        <w:rPr>
          <w:rFonts w:ascii="Trebuchet MS" w:hAnsi="Trebuchet MS"/>
        </w:rPr>
        <w:t xml:space="preserve"> Incorpórase como artículo 57, in fine, de la ley 11.723 el siguiente texto:</w:t>
      </w:r>
    </w:p>
    <w:p w14:paraId="6F308600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57 in fine: para los programas de computación consistirá el depósito de los elementos y documentos que determine la reglamentación.</w:t>
      </w:r>
    </w:p>
    <w:p w14:paraId="339199F9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73CCB58D" w14:textId="77777777" w:rsidR="006B5D1B" w:rsidRPr="00FE41D3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Artículo 6º</w:t>
      </w:r>
      <w:proofErr w:type="gramStart"/>
      <w:r w:rsidRPr="00FE41D3">
        <w:rPr>
          <w:rFonts w:ascii="Trebuchet MS" w:hAnsi="Trebuchet MS"/>
        </w:rPr>
        <w:t>.-</w:t>
      </w:r>
      <w:proofErr w:type="gramEnd"/>
      <w:r w:rsidRPr="00FE41D3">
        <w:rPr>
          <w:rFonts w:ascii="Trebuchet MS" w:hAnsi="Trebuchet MS"/>
        </w:rPr>
        <w:t>Comuníquese al poder Ejecutivo.</w:t>
      </w:r>
    </w:p>
    <w:p w14:paraId="0F5DE919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20C415C3" w14:textId="77777777" w:rsidR="006B5D1B" w:rsidRDefault="006B5D1B" w:rsidP="006B5D1B">
      <w:pPr>
        <w:jc w:val="both"/>
        <w:rPr>
          <w:rFonts w:ascii="Trebuchet MS" w:hAnsi="Trebuchet MS"/>
        </w:rPr>
      </w:pPr>
      <w:r w:rsidRPr="00FE41D3">
        <w:rPr>
          <w:rFonts w:ascii="Trebuchet MS" w:hAnsi="Trebuchet MS"/>
        </w:rPr>
        <w:t>Dada en la sala de sesiones del congreso argentino, en Buenos Aires, a los catorce días del mes de octubre del año mil novecientos noventa y ocho.</w:t>
      </w:r>
    </w:p>
    <w:p w14:paraId="1D839DBA" w14:textId="77777777" w:rsidR="006B5D1B" w:rsidRPr="00FE41D3" w:rsidRDefault="006B5D1B" w:rsidP="006B5D1B">
      <w:pPr>
        <w:jc w:val="both"/>
        <w:rPr>
          <w:rFonts w:ascii="Trebuchet MS" w:hAnsi="Trebuchet MS"/>
        </w:rPr>
      </w:pPr>
    </w:p>
    <w:p w14:paraId="5D46B1C6" w14:textId="77777777" w:rsidR="006B5D1B" w:rsidRPr="00FE41D3" w:rsidRDefault="006B5D1B" w:rsidP="006B5D1B">
      <w:pPr>
        <w:jc w:val="right"/>
        <w:rPr>
          <w:rFonts w:ascii="Trebuchet MS" w:hAnsi="Trebuchet MS"/>
          <w:sz w:val="16"/>
          <w:szCs w:val="16"/>
        </w:rPr>
      </w:pPr>
      <w:r w:rsidRPr="00FE41D3">
        <w:rPr>
          <w:rFonts w:ascii="Trebuchet MS" w:hAnsi="Trebuchet MS"/>
          <w:sz w:val="16"/>
          <w:szCs w:val="16"/>
        </w:rPr>
        <w:t>ALBERTO R. PIERRI</w:t>
      </w:r>
      <w:proofErr w:type="gramStart"/>
      <w:r w:rsidRPr="00FE41D3">
        <w:rPr>
          <w:rFonts w:ascii="Trebuchet MS" w:hAnsi="Trebuchet MS"/>
          <w:sz w:val="16"/>
          <w:szCs w:val="16"/>
        </w:rPr>
        <w:t>.-</w:t>
      </w:r>
      <w:proofErr w:type="gramEnd"/>
      <w:r w:rsidRPr="00FE41D3">
        <w:rPr>
          <w:rFonts w:ascii="Trebuchet MS" w:hAnsi="Trebuchet MS"/>
          <w:sz w:val="16"/>
          <w:szCs w:val="16"/>
        </w:rPr>
        <w:t>CARLOS F. RUCKAUF</w:t>
      </w:r>
    </w:p>
    <w:p w14:paraId="7C1EE486" w14:textId="77777777" w:rsidR="006B5D1B" w:rsidRPr="00FE41D3" w:rsidRDefault="006B5D1B" w:rsidP="006B5D1B">
      <w:pPr>
        <w:jc w:val="right"/>
        <w:rPr>
          <w:rFonts w:ascii="Trebuchet MS" w:hAnsi="Trebuchet MS"/>
        </w:rPr>
      </w:pPr>
      <w:r w:rsidRPr="00FE41D3">
        <w:rPr>
          <w:rFonts w:ascii="Trebuchet MS" w:hAnsi="Trebuchet MS"/>
          <w:sz w:val="16"/>
          <w:szCs w:val="16"/>
        </w:rPr>
        <w:t>Esther H. Pereyra Arandía de Pérez Pardo</w:t>
      </w:r>
      <w:proofErr w:type="gramStart"/>
      <w:r w:rsidRPr="00FE41D3">
        <w:rPr>
          <w:rFonts w:ascii="Trebuchet MS" w:hAnsi="Trebuchet MS"/>
          <w:sz w:val="16"/>
          <w:szCs w:val="16"/>
        </w:rPr>
        <w:t>.-</w:t>
      </w:r>
      <w:proofErr w:type="gramEnd"/>
      <w:r w:rsidRPr="00FE41D3">
        <w:rPr>
          <w:rFonts w:ascii="Trebuchet MS" w:hAnsi="Trebuchet MS"/>
          <w:sz w:val="16"/>
          <w:szCs w:val="16"/>
        </w:rPr>
        <w:t>Mariano L. Pontaquarto</w:t>
      </w:r>
      <w:r w:rsidRPr="00FE41D3">
        <w:rPr>
          <w:rFonts w:ascii="Trebuchet MS" w:hAnsi="Trebuchet MS"/>
        </w:rPr>
        <w:t>.</w:t>
      </w:r>
    </w:p>
    <w:p w14:paraId="4831E296" w14:textId="77777777" w:rsidR="006B5D1B" w:rsidRPr="00FE41D3" w:rsidRDefault="006B5D1B" w:rsidP="006B5D1B">
      <w:pPr>
        <w:rPr>
          <w:rFonts w:ascii="Trebuchet MS" w:hAnsi="Trebuchet MS"/>
        </w:rPr>
      </w:pPr>
    </w:p>
    <w:p w14:paraId="3CCE82B6" w14:textId="77777777" w:rsidR="006B5D1B" w:rsidRPr="00FE41D3" w:rsidRDefault="006B5D1B" w:rsidP="006B5D1B">
      <w:pPr>
        <w:rPr>
          <w:rFonts w:ascii="Trebuchet MS" w:hAnsi="Trebuchet MS"/>
        </w:rPr>
      </w:pPr>
    </w:p>
    <w:p w14:paraId="5979615F" w14:textId="77777777" w:rsidR="006B5D1B" w:rsidRDefault="006B5D1B" w:rsidP="006B5D1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caps/>
          <w:lang w:val="es-AR"/>
        </w:rPr>
      </w:pPr>
    </w:p>
    <w:p w14:paraId="209970E0" w14:textId="77777777" w:rsidR="006B5D1B" w:rsidRDefault="006B5D1B" w:rsidP="006B5D1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caps/>
          <w:lang w:val="es-AR"/>
        </w:rPr>
      </w:pPr>
    </w:p>
    <w:p w14:paraId="398C026A" w14:textId="77777777" w:rsidR="006B5D1B" w:rsidRDefault="006B5D1B" w:rsidP="006B5D1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caps/>
          <w:lang w:val="es-AR"/>
        </w:rPr>
      </w:pPr>
      <w:r w:rsidRPr="00FE41D3">
        <w:rPr>
          <w:rFonts w:ascii="Trebuchet MS" w:hAnsi="Trebuchet MS"/>
          <w:b/>
          <w:caps/>
          <w:lang w:val="es-AR"/>
        </w:rPr>
        <w:t>Decreto Nº 1307/98</w:t>
      </w:r>
    </w:p>
    <w:p w14:paraId="4B456975" w14:textId="77777777" w:rsidR="006B5D1B" w:rsidRPr="00FE41D3" w:rsidRDefault="006B5D1B" w:rsidP="006B5D1B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caps/>
          <w:lang w:val="es-AR"/>
        </w:rPr>
      </w:pPr>
    </w:p>
    <w:p w14:paraId="40EB9C40" w14:textId="77777777" w:rsidR="006B5D1B" w:rsidRPr="00FE41D3" w:rsidRDefault="006B5D1B" w:rsidP="006B5D1B">
      <w:pPr>
        <w:rPr>
          <w:rFonts w:ascii="Trebuchet MS" w:hAnsi="Trebuchet MS"/>
        </w:rPr>
      </w:pPr>
    </w:p>
    <w:p w14:paraId="29D6088F" w14:textId="77777777" w:rsidR="006B5D1B" w:rsidRPr="00FE41D3" w:rsidRDefault="006B5D1B" w:rsidP="006B5D1B">
      <w:pPr>
        <w:rPr>
          <w:rFonts w:ascii="Trebuchet MS" w:hAnsi="Trebuchet MS"/>
        </w:rPr>
      </w:pPr>
      <w:r w:rsidRPr="00FE41D3">
        <w:rPr>
          <w:rFonts w:ascii="Trebuchet MS" w:hAnsi="Trebuchet MS"/>
        </w:rPr>
        <w:t>Por lo tanto:</w:t>
      </w:r>
    </w:p>
    <w:p w14:paraId="13133077" w14:textId="77777777" w:rsidR="006B5D1B" w:rsidRPr="00FE41D3" w:rsidRDefault="006B5D1B" w:rsidP="006B5D1B">
      <w:pPr>
        <w:rPr>
          <w:rFonts w:ascii="Trebuchet MS" w:hAnsi="Trebuchet MS"/>
        </w:rPr>
      </w:pPr>
    </w:p>
    <w:p w14:paraId="623708E4" w14:textId="77777777" w:rsidR="006B5D1B" w:rsidRPr="00FE41D3" w:rsidRDefault="006B5D1B" w:rsidP="006B5D1B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  <w:lang w:val="es-AR"/>
        </w:rPr>
      </w:pPr>
      <w:r w:rsidRPr="00FE41D3">
        <w:rPr>
          <w:rFonts w:ascii="Trebuchet MS" w:hAnsi="Trebuchet MS"/>
          <w:lang w:val="es-AR"/>
        </w:rPr>
        <w:t>Téngase por ley de la Nación Nº 25.036 cúmplase, comuníquese, publíquese, dése a la dirección Nacional del Registro Oficial y archívese.</w:t>
      </w:r>
    </w:p>
    <w:p w14:paraId="745CED7D" w14:textId="77777777" w:rsidR="006B5D1B" w:rsidRPr="00FE41D3" w:rsidRDefault="006B5D1B" w:rsidP="006B5D1B">
      <w:pPr>
        <w:rPr>
          <w:rFonts w:ascii="Trebuchet MS" w:hAnsi="Trebuchet MS"/>
        </w:rPr>
      </w:pPr>
    </w:p>
    <w:p w14:paraId="2C0FCC5F" w14:textId="77777777" w:rsidR="006B5D1B" w:rsidRPr="00FE41D3" w:rsidRDefault="006B5D1B" w:rsidP="006B5D1B">
      <w:pPr>
        <w:jc w:val="right"/>
        <w:rPr>
          <w:rFonts w:ascii="Trebuchet MS" w:hAnsi="Trebuchet MS"/>
          <w:sz w:val="16"/>
          <w:szCs w:val="16"/>
        </w:rPr>
      </w:pPr>
      <w:r w:rsidRPr="00FE41D3">
        <w:rPr>
          <w:rFonts w:ascii="Trebuchet MS" w:hAnsi="Trebuchet MS"/>
          <w:sz w:val="16"/>
          <w:szCs w:val="16"/>
        </w:rPr>
        <w:t>MENEM</w:t>
      </w:r>
      <w:proofErr w:type="gramStart"/>
      <w:r w:rsidRPr="00FE41D3">
        <w:rPr>
          <w:rFonts w:ascii="Trebuchet MS" w:hAnsi="Trebuchet MS"/>
          <w:sz w:val="16"/>
          <w:szCs w:val="16"/>
        </w:rPr>
        <w:t>.-</w:t>
      </w:r>
      <w:proofErr w:type="gramEnd"/>
      <w:r w:rsidRPr="00FE41D3">
        <w:rPr>
          <w:rFonts w:ascii="Trebuchet MS" w:hAnsi="Trebuchet MS"/>
          <w:sz w:val="16"/>
          <w:szCs w:val="16"/>
        </w:rPr>
        <w:t>Jorge A. Rodríguez.-Raúl A. Granillo Ocampo.</w:t>
      </w:r>
    </w:p>
    <w:p w14:paraId="75202B01" w14:textId="77777777" w:rsidR="006B5D1B" w:rsidRPr="00FE41D3" w:rsidRDefault="006B5D1B" w:rsidP="006B5D1B">
      <w:pPr>
        <w:rPr>
          <w:rFonts w:ascii="Trebuchet MS" w:hAnsi="Trebuchet MS"/>
        </w:rPr>
      </w:pPr>
    </w:p>
    <w:p w14:paraId="6E1EC50A" w14:textId="77777777" w:rsidR="006B5D1B" w:rsidRPr="00FE41D3" w:rsidRDefault="006B5D1B" w:rsidP="006B5D1B">
      <w:pPr>
        <w:jc w:val="center"/>
        <w:rPr>
          <w:rFonts w:ascii="Trebuchet MS" w:hAnsi="Trebuchet MS"/>
          <w:b/>
        </w:rPr>
      </w:pPr>
    </w:p>
    <w:p w14:paraId="2D79FE41" w14:textId="77777777" w:rsidR="006B5D1B" w:rsidRPr="00FE41D3" w:rsidRDefault="006B5D1B" w:rsidP="006B5D1B">
      <w:pPr>
        <w:jc w:val="center"/>
        <w:rPr>
          <w:rFonts w:ascii="Trebuchet MS" w:hAnsi="Trebuchet MS"/>
          <w:b/>
        </w:rPr>
      </w:pPr>
    </w:p>
    <w:p w14:paraId="3C1BD390" w14:textId="77777777" w:rsidR="006B5D1B" w:rsidRPr="00FE41D3" w:rsidRDefault="006B5D1B" w:rsidP="006B5D1B">
      <w:pPr>
        <w:rPr>
          <w:rFonts w:ascii="Trebuchet MS" w:hAnsi="Trebuchet MS"/>
        </w:rPr>
      </w:pPr>
    </w:p>
    <w:p w14:paraId="12900DE3" w14:textId="77777777" w:rsidR="006B5D1B" w:rsidRPr="00FE41D3" w:rsidRDefault="006B5D1B" w:rsidP="006B5D1B">
      <w:pPr>
        <w:jc w:val="center"/>
        <w:rPr>
          <w:rFonts w:ascii="Trebuchet MS" w:hAnsi="Trebuchet MS"/>
          <w:b/>
        </w:rPr>
      </w:pPr>
    </w:p>
    <w:p w14:paraId="3B717763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0AFDD41B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46BEB9B2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1DE6A9BF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350AD430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7B7AFA12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37D86D11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04DCE7A4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29AF367A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41C9AD21" w14:textId="77777777" w:rsidR="006B5D1B" w:rsidRPr="00FE41D3" w:rsidRDefault="006B5D1B" w:rsidP="006B5D1B">
      <w:pPr>
        <w:rPr>
          <w:rFonts w:ascii="Trebuchet MS" w:hAnsi="Trebuchet MS"/>
          <w:b/>
          <w:lang w:val="es-MX"/>
        </w:rPr>
      </w:pPr>
    </w:p>
    <w:p w14:paraId="7103976A" w14:textId="77777777" w:rsidR="006B5D1B" w:rsidRPr="00FE41D3" w:rsidRDefault="006B5D1B" w:rsidP="006B5D1B">
      <w:pPr>
        <w:jc w:val="center"/>
        <w:rPr>
          <w:rFonts w:ascii="Trebuchet MS" w:hAnsi="Trebuchet MS"/>
          <w:b/>
          <w:lang w:val="es-MX"/>
        </w:rPr>
      </w:pPr>
    </w:p>
    <w:p w14:paraId="31D4A1D7" w14:textId="77777777" w:rsidR="006B5D1B" w:rsidRPr="00CD20E3" w:rsidRDefault="006B5D1B" w:rsidP="006B5D1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B5D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2793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2021-05-05T18:09:00Z</dcterms:created>
  <dcterms:modified xsi:type="dcterms:W3CDTF">2021-05-05T18:09:00Z</dcterms:modified>
</cp:coreProperties>
</file>