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04B14" w14:textId="77777777" w:rsidR="0000404F"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b/>
          <w:caps/>
        </w:rPr>
      </w:pPr>
    </w:p>
    <w:p w14:paraId="3FDD29F0"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caps/>
          <w:lang w:val="es-AR" w:eastAsia="es-AR"/>
        </w:rPr>
      </w:pPr>
      <w:r w:rsidRPr="004567E4">
        <w:rPr>
          <w:rFonts w:ascii="Trebuchet MS" w:hAnsi="Trebuchet MS"/>
          <w:b/>
          <w:caps/>
        </w:rPr>
        <w:t>movilidad del valor de las asignaciones familiares</w:t>
      </w:r>
    </w:p>
    <w:p w14:paraId="229EB6B4"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lang w:val="es-AR" w:eastAsia="es-AR"/>
        </w:rPr>
      </w:pPr>
    </w:p>
    <w:p w14:paraId="3DD3DB0D"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rebuchet MS" w:hAnsi="Trebuchet MS" w:cs="Arial"/>
          <w:b/>
          <w:lang w:val="es-AR" w:eastAsia="es-AR"/>
        </w:rPr>
      </w:pPr>
      <w:r w:rsidRPr="004567E4">
        <w:rPr>
          <w:rFonts w:ascii="Trebuchet MS" w:hAnsi="Trebuchet MS" w:cs="Arial"/>
          <w:b/>
          <w:lang w:val="es-AR" w:eastAsia="es-AR"/>
        </w:rPr>
        <w:t>LEY N° 27160</w:t>
      </w:r>
    </w:p>
    <w:p w14:paraId="03875C64"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b/>
          <w:bCs/>
          <w:lang w:val="es-AR" w:eastAsia="es-AR"/>
        </w:rPr>
      </w:pPr>
    </w:p>
    <w:p w14:paraId="7AF0138F"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b/>
          <w:bCs/>
          <w:lang w:val="es-AR" w:eastAsia="es-AR"/>
        </w:rPr>
      </w:pPr>
    </w:p>
    <w:p w14:paraId="672B4DBB" w14:textId="77777777" w:rsidR="0000404F" w:rsidRPr="004567E4" w:rsidRDefault="0000404F" w:rsidP="0000404F">
      <w:pPr>
        <w:jc w:val="center"/>
        <w:rPr>
          <w:rFonts w:ascii="Trebuchet MS" w:hAnsi="Trebuchet MS"/>
          <w:b/>
          <w:lang w:val="es-AR"/>
        </w:rPr>
      </w:pPr>
      <w:r w:rsidRPr="004567E4">
        <w:rPr>
          <w:rFonts w:ascii="Trebuchet MS" w:hAnsi="Trebuchet MS"/>
          <w:b/>
          <w:lang w:val="es-AR"/>
        </w:rPr>
        <w:t>EL SENADO Y CÁMARA DE DIPUTADOS DE LA NACIÓN ARGENTINA REUNIDOS EN CONGRESO, ETC. SANCIONAN CON FUERZA DE LEY:</w:t>
      </w:r>
    </w:p>
    <w:p w14:paraId="0351F7A6"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7A964051"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712E594A"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t>Artículo 1° —</w:t>
      </w:r>
      <w:r w:rsidRPr="004567E4">
        <w:rPr>
          <w:rFonts w:ascii="Trebuchet MS" w:hAnsi="Trebuchet MS" w:cs="Arial"/>
          <w:color w:val="000000"/>
          <w:lang w:val="es-AR" w:eastAsia="es-AR"/>
        </w:rPr>
        <w:t xml:space="preserve"> Las asignaciones familiares previstas en la ley 24.714, sus normas complementarias y modificatorias, con excepción de la establecida en el inciso e) del artículo 6° de la ley 24.714, serán móviles. El cálculo del índice de movilidad se realizará conforme a lo previsto en el Anexo de la ley 26.417. La movilidad se aplicará al monto de las asignaciones familiares y a la actualización de los rangos de ingresos del grupo familiar que determinan el cobro, en los casos en que corresponde su utilización. En ningún caso la aplicación de dicho índice podrá producir una disminución del valor de la asignación.</w:t>
      </w:r>
    </w:p>
    <w:p w14:paraId="1A245203"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7E6B06BE"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t>Artículo  2° —</w:t>
      </w:r>
      <w:r w:rsidRPr="004567E4">
        <w:rPr>
          <w:rFonts w:ascii="Trebuchet MS" w:hAnsi="Trebuchet MS" w:cs="Arial"/>
          <w:color w:val="000000"/>
          <w:lang w:val="es-AR" w:eastAsia="es-AR"/>
        </w:rPr>
        <w:t xml:space="preserve"> El valor de la Asignación Universal por Hijo para Protección Social y la Asignación por Embarazo para Protección Social, para los titulares residentes en las zonas previstas en la ley 23.272, modificada por la ley 25.955, constituida por las provincias de La Pampa, Río Negro, Chubut, Neuquén, Santa Cruz, Tierra del Fuego, Antártida e Islas del Atlántico Sur y el Partido de Patagones de la provincia de Buenos Aires, tendrá un importe diferencial consistente en aplicar el coeficiente uno con tres décimos (1,3) sobre el valor base de la asignación vigente para cada período.</w:t>
      </w:r>
    </w:p>
    <w:p w14:paraId="6AEE9611"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5DFFEB82"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t>Artículo  3° —</w:t>
      </w:r>
      <w:r w:rsidRPr="004567E4">
        <w:rPr>
          <w:rFonts w:ascii="Trebuchet MS" w:hAnsi="Trebuchet MS" w:cs="Arial"/>
          <w:color w:val="000000"/>
          <w:lang w:val="es-AR" w:eastAsia="es-AR"/>
        </w:rPr>
        <w:t xml:space="preserve"> La Administración Nacional de la Seguridad Social (ANSES) tendrá a su cargo el cálculo de la movilidad de conformidad con las pautas establecidas en la presente ley.</w:t>
      </w:r>
    </w:p>
    <w:p w14:paraId="3DFAB245"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5595C4F3"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t>Artículo  4° —</w:t>
      </w:r>
      <w:r w:rsidRPr="004567E4">
        <w:rPr>
          <w:rFonts w:ascii="Trebuchet MS" w:hAnsi="Trebuchet MS" w:cs="Arial"/>
          <w:color w:val="000000"/>
          <w:lang w:val="es-AR" w:eastAsia="es-AR"/>
        </w:rPr>
        <w:t xml:space="preserve"> La movilidad establecida en esta ley se aplicará por primera vez en oportunidad del cálculo correspondiente al mes de marzo del año 2016.</w:t>
      </w:r>
    </w:p>
    <w:p w14:paraId="6DB18DD8"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4F9B8311"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t>Artículo  5° —</w:t>
      </w:r>
      <w:r w:rsidRPr="004567E4">
        <w:rPr>
          <w:rFonts w:ascii="Trebuchet MS" w:hAnsi="Trebuchet MS" w:cs="Arial"/>
          <w:color w:val="000000"/>
          <w:lang w:val="es-AR" w:eastAsia="es-AR"/>
        </w:rPr>
        <w:t xml:space="preserve"> El tope de ingresos previsto en el artículo 3° de la ley 24.714 y sus modificatorias, se ajustará de acuerdo con la variación que se produzca en la ganancia no imponible y/o en las deducciones por cargas de familia, previstas en el artículo 23 inciso b) de la Ley de Impuesto a las Ganancias, (t.o. en 1997) y sus modificaciones y complementarias.</w:t>
      </w:r>
    </w:p>
    <w:p w14:paraId="1BFFF6B9"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45A8DEFD"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lastRenderedPageBreak/>
        <w:t>Artículo  6° —</w:t>
      </w:r>
      <w:r w:rsidRPr="004567E4">
        <w:rPr>
          <w:rFonts w:ascii="Trebuchet MS" w:hAnsi="Trebuchet MS" w:cs="Arial"/>
          <w:color w:val="000000"/>
          <w:lang w:val="es-AR" w:eastAsia="es-AR"/>
        </w:rPr>
        <w:t xml:space="preserve"> No podrá un mismo titular recibir prestaciones del régimen de asignaciones familiares y a la vez aplicar la deducción especial por hijo o cónyuge prevista en el Impuesto a las Ganancias.</w:t>
      </w:r>
    </w:p>
    <w:p w14:paraId="7A7F6A32"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0519FBA6"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t>Artículo  7° —</w:t>
      </w:r>
      <w:r w:rsidRPr="004567E4">
        <w:rPr>
          <w:rFonts w:ascii="Trebuchet MS" w:hAnsi="Trebuchet MS" w:cs="Arial"/>
          <w:color w:val="000000"/>
          <w:lang w:val="es-AR" w:eastAsia="es-AR"/>
        </w:rPr>
        <w:t xml:space="preserve"> La Administración Nacional de la Seguridad Social (ANSES) tendrá a su cargo el dictado de las normas aclaratorias y complementarias de la presente ley.</w:t>
      </w:r>
    </w:p>
    <w:p w14:paraId="50D7CFF8"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02522D92"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b/>
          <w:color w:val="000000"/>
          <w:lang w:val="es-AR" w:eastAsia="es-AR"/>
        </w:rPr>
        <w:t>Artículo  8° —</w:t>
      </w:r>
      <w:r w:rsidRPr="004567E4">
        <w:rPr>
          <w:rFonts w:ascii="Trebuchet MS" w:hAnsi="Trebuchet MS" w:cs="Arial"/>
          <w:color w:val="000000"/>
          <w:lang w:val="es-AR" w:eastAsia="es-AR"/>
        </w:rPr>
        <w:t xml:space="preserve"> Comuníquese al Poder Ejecutivo nacional.</w:t>
      </w:r>
    </w:p>
    <w:p w14:paraId="25AAF0AA"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p>
    <w:p w14:paraId="29DF6D33"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color w:val="000000"/>
          <w:lang w:val="es-AR" w:eastAsia="es-AR"/>
        </w:rPr>
        <w:t>DADA EN LA SALA DE SESIONES DEL CONGRESO ARGENTINO, EN BUENOS AIRES, A LOS QUINCE DÍAS DEL MES DE JULIO DEL AÑO DOS MIL QUINCE.</w:t>
      </w:r>
    </w:p>
    <w:p w14:paraId="7B6CF3EC"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color w:val="000000"/>
          <w:lang w:val="es-AR" w:eastAsia="es-AR"/>
        </w:rPr>
        <w:t>— REGISTRADO BAJO EL Nº 27160 —</w:t>
      </w:r>
    </w:p>
    <w:p w14:paraId="1DD69FFE"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Arial"/>
          <w:color w:val="000000"/>
          <w:lang w:val="es-AR" w:eastAsia="es-AR"/>
        </w:rPr>
      </w:pPr>
      <w:r w:rsidRPr="004567E4">
        <w:rPr>
          <w:rFonts w:ascii="Trebuchet MS" w:hAnsi="Trebuchet MS" w:cs="Arial"/>
          <w:color w:val="000000"/>
          <w:lang w:val="es-AR" w:eastAsia="es-AR"/>
        </w:rPr>
        <w:t>AMADO BOUDOU. — JULIÁN A. DOMÍNGUEZ. — Juan H. Estrada. — Lucas Chedrese.</w:t>
      </w:r>
    </w:p>
    <w:p w14:paraId="4DC4A578" w14:textId="77777777" w:rsidR="0000404F" w:rsidRPr="004567E4" w:rsidRDefault="0000404F" w:rsidP="0000404F">
      <w:pPr>
        <w:spacing w:line="300" w:lineRule="exact"/>
      </w:pPr>
    </w:p>
    <w:p w14:paraId="0C0CD067"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lang w:val="es-AR" w:eastAsia="es-AR"/>
        </w:rPr>
      </w:pPr>
      <w:r w:rsidRPr="004567E4">
        <w:rPr>
          <w:rFonts w:ascii="Trebuchet MS" w:hAnsi="Trebuchet MS" w:cs="Arial"/>
          <w:bCs/>
          <w:lang w:val="es-AR" w:eastAsia="es-AR"/>
        </w:rPr>
        <w:t>Sancionada: Julio 15 de 2015</w:t>
      </w:r>
    </w:p>
    <w:p w14:paraId="62A3B0CB" w14:textId="77777777" w:rsidR="0000404F" w:rsidRPr="004567E4" w:rsidRDefault="0000404F" w:rsidP="00004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Arial"/>
          <w:bCs/>
          <w:lang w:val="es-AR" w:eastAsia="es-AR"/>
        </w:rPr>
      </w:pPr>
      <w:r w:rsidRPr="004567E4">
        <w:rPr>
          <w:rFonts w:ascii="Trebuchet MS" w:hAnsi="Trebuchet MS" w:cs="Arial"/>
          <w:bCs/>
          <w:lang w:val="es-AR" w:eastAsia="es-AR"/>
        </w:rPr>
        <w:t>Promulgada: Julio 16 de 2015</w:t>
      </w:r>
    </w:p>
    <w:p w14:paraId="3CC2507C" w14:textId="77777777" w:rsidR="0000404F" w:rsidRPr="0004427E" w:rsidRDefault="0000404F" w:rsidP="0000404F">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0404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2387</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2021-05-06T17:13:00Z</dcterms:created>
  <dcterms:modified xsi:type="dcterms:W3CDTF">2021-05-06T17:13:00Z</dcterms:modified>
</cp:coreProperties>
</file>