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D9687" w14:textId="77777777" w:rsidR="00415B5B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29F08A3E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bookmarkStart w:id="0" w:name="_GoBack"/>
      <w:bookmarkEnd w:id="0"/>
      <w:r w:rsidRPr="00DB56D3">
        <w:rPr>
          <w:rFonts w:ascii="Trebuchet MS" w:hAnsi="Trebuchet MS" w:cs="Arial"/>
          <w:b/>
          <w:bCs/>
          <w:color w:val="000000"/>
        </w:rPr>
        <w:t>LEY DE POLÍTICAS PÚBLICAS PARA LA INCLUSIÓN EDUCATIVA PLENA</w:t>
      </w:r>
    </w:p>
    <w:p w14:paraId="0BF4307D" w14:textId="77777777" w:rsidR="00415B5B" w:rsidRPr="00DB56D3" w:rsidRDefault="00415B5B" w:rsidP="00415B5B">
      <w:pPr>
        <w:pStyle w:val="Ttulo3"/>
        <w:spacing w:after="0"/>
        <w:jc w:val="center"/>
        <w:rPr>
          <w:rFonts w:ascii="Trebuchet MS" w:hAnsi="Trebuchet MS"/>
          <w:caps/>
          <w:sz w:val="20"/>
          <w:szCs w:val="20"/>
        </w:rPr>
      </w:pPr>
      <w:r w:rsidRPr="00DB56D3">
        <w:rPr>
          <w:rFonts w:ascii="Trebuchet MS" w:hAnsi="Trebuchet MS"/>
          <w:sz w:val="20"/>
          <w:szCs w:val="20"/>
        </w:rPr>
        <w:t>LEGISLATURA DE LA CIUDAD AUTÓNOMA DE BUENOS AIRES</w:t>
      </w:r>
    </w:p>
    <w:p w14:paraId="31F4D539" w14:textId="77777777" w:rsidR="00415B5B" w:rsidRPr="00DB56D3" w:rsidRDefault="00415B5B" w:rsidP="00415B5B">
      <w:pPr>
        <w:jc w:val="center"/>
        <w:rPr>
          <w:rFonts w:ascii="Trebuchet MS" w:hAnsi="Trebuchet MS"/>
          <w:b/>
        </w:rPr>
      </w:pPr>
    </w:p>
    <w:p w14:paraId="18A4ACD3" w14:textId="77777777" w:rsidR="00415B5B" w:rsidRPr="00DB56D3" w:rsidRDefault="00415B5B" w:rsidP="00415B5B">
      <w:pPr>
        <w:jc w:val="center"/>
        <w:rPr>
          <w:rFonts w:ascii="Trebuchet MS" w:hAnsi="Trebuchet MS"/>
          <w:b/>
        </w:rPr>
      </w:pPr>
      <w:r w:rsidRPr="00DB56D3">
        <w:rPr>
          <w:rFonts w:ascii="Trebuchet MS" w:hAnsi="Trebuchet MS"/>
          <w:b/>
        </w:rPr>
        <w:t>LEY N° 3.331</w:t>
      </w:r>
    </w:p>
    <w:p w14:paraId="0086C837" w14:textId="77777777" w:rsidR="00415B5B" w:rsidRPr="00DB56D3" w:rsidRDefault="00415B5B" w:rsidP="00415B5B">
      <w:pPr>
        <w:jc w:val="center"/>
        <w:rPr>
          <w:rFonts w:ascii="Trebuchet MS" w:hAnsi="Trebuchet MS"/>
          <w:b/>
        </w:rPr>
      </w:pPr>
    </w:p>
    <w:p w14:paraId="4DBB83E0" w14:textId="77777777" w:rsidR="00415B5B" w:rsidRPr="00DB56D3" w:rsidRDefault="00415B5B" w:rsidP="00415B5B">
      <w:pPr>
        <w:jc w:val="center"/>
        <w:rPr>
          <w:rFonts w:ascii="Trebuchet MS" w:hAnsi="Trebuchet MS"/>
          <w:b/>
        </w:rPr>
      </w:pPr>
    </w:p>
    <w:p w14:paraId="2DBF146D" w14:textId="77777777" w:rsidR="00415B5B" w:rsidRPr="00DB56D3" w:rsidRDefault="00415B5B" w:rsidP="00415B5B">
      <w:pPr>
        <w:jc w:val="center"/>
        <w:rPr>
          <w:rFonts w:ascii="Trebuchet MS" w:hAnsi="Trebuchet MS" w:cs="Arial"/>
          <w:b/>
          <w:color w:val="000000"/>
        </w:rPr>
      </w:pPr>
      <w:r w:rsidRPr="00DB56D3">
        <w:rPr>
          <w:rFonts w:ascii="Trebuchet MS" w:hAnsi="Trebuchet MS" w:cs="Arial"/>
          <w:b/>
          <w:color w:val="000000"/>
        </w:rPr>
        <w:t>La Legislatura de la Ciudad Autónoma de Buenos Aires</w:t>
      </w:r>
    </w:p>
    <w:p w14:paraId="167F55B1" w14:textId="77777777" w:rsidR="00415B5B" w:rsidRPr="00DB56D3" w:rsidRDefault="00415B5B" w:rsidP="00415B5B">
      <w:pPr>
        <w:jc w:val="center"/>
        <w:rPr>
          <w:rFonts w:ascii="Trebuchet MS" w:hAnsi="Trebuchet MS" w:cs="Arial"/>
          <w:b/>
          <w:color w:val="000000"/>
        </w:rPr>
      </w:pPr>
      <w:proofErr w:type="gramStart"/>
      <w:r w:rsidRPr="00DB56D3">
        <w:rPr>
          <w:rFonts w:ascii="Trebuchet MS" w:hAnsi="Trebuchet MS" w:cs="Arial"/>
          <w:b/>
          <w:color w:val="000000"/>
        </w:rPr>
        <w:t>sanciona</w:t>
      </w:r>
      <w:proofErr w:type="gramEnd"/>
      <w:r w:rsidRPr="00DB56D3">
        <w:rPr>
          <w:rFonts w:ascii="Trebuchet MS" w:hAnsi="Trebuchet MS" w:cs="Arial"/>
          <w:b/>
          <w:color w:val="000000"/>
        </w:rPr>
        <w:t xml:space="preserve"> con fuerza de Ley</w:t>
      </w:r>
    </w:p>
    <w:p w14:paraId="2E0734B4" w14:textId="77777777" w:rsidR="00415B5B" w:rsidRDefault="00415B5B" w:rsidP="00415B5B">
      <w:pPr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> </w:t>
      </w:r>
    </w:p>
    <w:p w14:paraId="657DA937" w14:textId="77777777" w:rsidR="00415B5B" w:rsidRPr="00DB56D3" w:rsidRDefault="00415B5B" w:rsidP="00415B5B">
      <w:pPr>
        <w:rPr>
          <w:rFonts w:ascii="Trebuchet MS" w:hAnsi="Trebuchet MS" w:cs="Arial"/>
          <w:color w:val="000000"/>
        </w:rPr>
      </w:pPr>
    </w:p>
    <w:p w14:paraId="20D19C4B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TITULO I</w:t>
      </w:r>
    </w:p>
    <w:p w14:paraId="24659FA5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Capítulo I</w:t>
      </w:r>
    </w:p>
    <w:p w14:paraId="69AA51D5" w14:textId="77777777" w:rsidR="00415B5B" w:rsidRPr="00DB56D3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Objeto de la ley</w:t>
      </w:r>
    </w:p>
    <w:p w14:paraId="461250DD" w14:textId="77777777" w:rsidR="00415B5B" w:rsidRPr="00DB56D3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47B50B1F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1°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.-</w:t>
      </w:r>
      <w:proofErr w:type="gramEnd"/>
      <w:r w:rsidRPr="00DB56D3">
        <w:rPr>
          <w:rFonts w:ascii="Trebuchet MS" w:hAnsi="Trebuchet MS" w:cs="Arial"/>
          <w:color w:val="000000"/>
        </w:rPr>
        <w:t xml:space="preserve"> Esta Ley tiene como objeto la propuesta, monitoreo y evaluación de las políticas públicas para una inclusión educativa plena.</w:t>
      </w:r>
    </w:p>
    <w:p w14:paraId="07788021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</w:p>
    <w:p w14:paraId="34D819A0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2°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Entiéndase por políticas de inclusión educativa plena al conjunto de procesos pedagógicos, institucionales, políticos y comunitarios que permite que la totalidad de los niños y jóvenes de la Ciudad se integren a propuestas educativas de alta calidad, a través de itinerarios escolares con modalidades regulares o alternativas, conforme a sus necesidades.</w:t>
      </w:r>
    </w:p>
    <w:p w14:paraId="615BEC56" w14:textId="77777777" w:rsidR="00415B5B" w:rsidRPr="00DB56D3" w:rsidRDefault="00415B5B" w:rsidP="00415B5B">
      <w:pPr>
        <w:jc w:val="both"/>
        <w:rPr>
          <w:rFonts w:ascii="Trebuchet MS" w:hAnsi="Trebuchet MS" w:cs="Arial"/>
          <w:b/>
          <w:bCs/>
          <w:color w:val="000000"/>
        </w:rPr>
      </w:pPr>
    </w:p>
    <w:p w14:paraId="1E867796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3°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Entiéndase por calidad educativa al acceso y permanencia de toda la población a los mejores aprendizajes, oportunidades y servicios educativos, atendiendo a su cultura de origen, condición personal o social, de modo tal de facilitar su desarrollo como personas y como ciudadanos.</w:t>
      </w:r>
    </w:p>
    <w:p w14:paraId="27A66EE4" w14:textId="77777777" w:rsidR="00415B5B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36F8D98D" w14:textId="77777777" w:rsidR="00415B5B" w:rsidRPr="00DB56D3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03BEBCF5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 xml:space="preserve">Capítulo II </w:t>
      </w:r>
    </w:p>
    <w:p w14:paraId="4763C876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Responsabilidad del Poder Ejecutivo</w:t>
      </w:r>
    </w:p>
    <w:p w14:paraId="5A0E3F51" w14:textId="77777777" w:rsidR="00415B5B" w:rsidRPr="00DB56D3" w:rsidRDefault="00415B5B" w:rsidP="00415B5B">
      <w:pPr>
        <w:rPr>
          <w:rFonts w:ascii="Trebuchet MS" w:hAnsi="Trebuchet MS" w:cs="Arial"/>
          <w:b/>
          <w:bCs/>
          <w:color w:val="000000"/>
        </w:rPr>
      </w:pPr>
    </w:p>
    <w:p w14:paraId="6F9FE834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4°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El Poder Ejecutivo promueve:</w:t>
      </w:r>
    </w:p>
    <w:p w14:paraId="649C14AA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</w:p>
    <w:p w14:paraId="52D1AEAD" w14:textId="77777777" w:rsidR="00415B5B" w:rsidRPr="00DB56D3" w:rsidRDefault="00415B5B" w:rsidP="00415B5B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El sostenimiento en la agenda pública de la inclusión educativa plena como prioridad social </w:t>
      </w:r>
    </w:p>
    <w:p w14:paraId="5126F26C" w14:textId="77777777" w:rsidR="00415B5B" w:rsidRPr="00DB56D3" w:rsidRDefault="00415B5B" w:rsidP="00415B5B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El desarrollo e implementación de políticas públicas, en forma conjunta, de todos los organismos de gobierno para la inclusión educativa plena. </w:t>
      </w:r>
    </w:p>
    <w:p w14:paraId="5E2EEF53" w14:textId="77777777" w:rsidR="00415B5B" w:rsidRPr="00DB56D3" w:rsidRDefault="00415B5B" w:rsidP="00415B5B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Un sistema de indicadores socio-educativos que permitan monitorear los resultados, informar periódicamente de los logros y los desafíos pendientes y actuar en consecuencia. </w:t>
      </w:r>
    </w:p>
    <w:p w14:paraId="49A0380A" w14:textId="77777777" w:rsidR="00415B5B" w:rsidRPr="00DB56D3" w:rsidRDefault="00415B5B" w:rsidP="00415B5B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El desarrollo y financiamiento en forma concurrente de programas específicos para la inclusión educativa, en los niveles obligatorios, de la población que requiere alternativas especiales. </w:t>
      </w:r>
    </w:p>
    <w:p w14:paraId="2292BF43" w14:textId="77777777" w:rsidR="00415B5B" w:rsidRPr="00DB56D3" w:rsidRDefault="00415B5B" w:rsidP="00415B5B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El 50% de mayor inversión anual por alumno, en infraestructura nueva y ampliaciones, en las áreas con poblaciones social y económicamente vulnerables que requieren atención diferenciada para una inclusión educativa plena. Esta mayor inversión anual por alumno deberá realizarse </w:t>
      </w:r>
      <w:proofErr w:type="gramStart"/>
      <w:r w:rsidRPr="00DB56D3">
        <w:rPr>
          <w:rFonts w:ascii="Trebuchet MS" w:hAnsi="Trebuchet MS" w:cs="Arial"/>
          <w:color w:val="000000"/>
        </w:rPr>
        <w:t>durante</w:t>
      </w:r>
      <w:proofErr w:type="gramEnd"/>
      <w:r w:rsidRPr="00DB56D3">
        <w:rPr>
          <w:rFonts w:ascii="Trebuchet MS" w:hAnsi="Trebuchet MS" w:cs="Arial"/>
          <w:color w:val="000000"/>
        </w:rPr>
        <w:t xml:space="preserve"> los primeros cinco (5) años de la puesta en vigencia de la presente Ley. </w:t>
      </w:r>
    </w:p>
    <w:p w14:paraId="72C028D5" w14:textId="77777777" w:rsidR="00415B5B" w:rsidRPr="00DB56D3" w:rsidRDefault="00415B5B" w:rsidP="00415B5B">
      <w:pPr>
        <w:numPr>
          <w:ilvl w:val="0"/>
          <w:numId w:val="12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Los presupuestos de las diferentes jurisdicciones involucradas en Políticas Públicas integradas para la inclusión educativa plena deberán especificar las partidas asignadas </w:t>
      </w:r>
      <w:proofErr w:type="gramStart"/>
      <w:r w:rsidRPr="00DB56D3">
        <w:rPr>
          <w:rFonts w:ascii="Trebuchet MS" w:hAnsi="Trebuchet MS" w:cs="Arial"/>
          <w:color w:val="000000"/>
        </w:rPr>
        <w:t>a</w:t>
      </w:r>
      <w:proofErr w:type="gramEnd"/>
      <w:r w:rsidRPr="00DB56D3">
        <w:rPr>
          <w:rFonts w:ascii="Trebuchet MS" w:hAnsi="Trebuchet MS" w:cs="Arial"/>
          <w:color w:val="000000"/>
        </w:rPr>
        <w:t xml:space="preserve"> esta finalidad. </w:t>
      </w:r>
    </w:p>
    <w:p w14:paraId="50EB55C2" w14:textId="77777777" w:rsidR="00415B5B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6F45E058" w14:textId="77777777" w:rsidR="00415B5B" w:rsidRPr="00DB56D3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66BC8D3F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TITULO II</w:t>
      </w:r>
    </w:p>
    <w:p w14:paraId="6A839EB3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Capítulo I</w:t>
      </w:r>
    </w:p>
    <w:p w14:paraId="566C19AF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Observatorio de Políticas Públicas</w:t>
      </w:r>
    </w:p>
    <w:p w14:paraId="0C22348E" w14:textId="77777777" w:rsidR="00415B5B" w:rsidRPr="00DB56D3" w:rsidRDefault="00415B5B" w:rsidP="00415B5B">
      <w:pPr>
        <w:rPr>
          <w:rFonts w:ascii="Trebuchet MS" w:hAnsi="Trebuchet MS" w:cs="Arial"/>
          <w:b/>
          <w:bCs/>
          <w:color w:val="000000"/>
        </w:rPr>
      </w:pPr>
    </w:p>
    <w:p w14:paraId="1746E73B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5°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Crease el Observatorio de Políticas Públicas para la inclusión educativa plena de la Ciudad de Buenos Aires.</w:t>
      </w:r>
    </w:p>
    <w:p w14:paraId="16218C64" w14:textId="77777777" w:rsidR="00415B5B" w:rsidRPr="00DB56D3" w:rsidRDefault="00415B5B" w:rsidP="00415B5B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0139685" w14:textId="77777777" w:rsidR="00415B5B" w:rsidRPr="00DB56D3" w:rsidRDefault="00415B5B" w:rsidP="00415B5B">
      <w:pPr>
        <w:rPr>
          <w:rFonts w:ascii="Trebuchet MS" w:hAnsi="Trebuchet MS" w:cs="Arial"/>
          <w:b/>
          <w:bCs/>
          <w:color w:val="000000"/>
        </w:rPr>
      </w:pPr>
    </w:p>
    <w:p w14:paraId="2A823D04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6°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El Observatorio de Políticas Públicas tendrá la dependencia, estructura y organización que le atribuya el Jefe de Gobierno utilizando las unidades organizativas que estén realizando funciones afines a las que se asignan en la presente Ley.</w:t>
      </w:r>
    </w:p>
    <w:p w14:paraId="616B8DFB" w14:textId="77777777" w:rsidR="00415B5B" w:rsidRPr="00DB56D3" w:rsidRDefault="00415B5B" w:rsidP="00415B5B">
      <w:pPr>
        <w:jc w:val="both"/>
        <w:rPr>
          <w:rFonts w:ascii="Trebuchet MS" w:hAnsi="Trebuchet MS" w:cs="Arial"/>
          <w:b/>
          <w:bCs/>
          <w:color w:val="000000"/>
        </w:rPr>
      </w:pPr>
    </w:p>
    <w:p w14:paraId="7632B39E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7°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Para su conformación se deberá tener en cuenta la representación de los diferentes ministerios responsables de políticas públicas integradas de inclusión educativa, y por igual número de legisladores de los diferentes bloques que integran la Comisión de Educación de la Legislatura de la Ciudad. </w:t>
      </w:r>
      <w:proofErr w:type="gramStart"/>
      <w:r w:rsidRPr="00DB56D3">
        <w:rPr>
          <w:rFonts w:ascii="Trebuchet MS" w:hAnsi="Trebuchet MS" w:cs="Arial"/>
          <w:color w:val="000000"/>
        </w:rPr>
        <w:t>Los cargos de los representantes serán desempeñados “ad honorem“.</w:t>
      </w:r>
      <w:proofErr w:type="gramEnd"/>
    </w:p>
    <w:p w14:paraId="1221A1A6" w14:textId="77777777" w:rsidR="00415B5B" w:rsidRPr="00DB56D3" w:rsidRDefault="00415B5B" w:rsidP="00415B5B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F430A7D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8°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El Poder Ejecutivo convoca a representantes de las ONGs con especialización en la materia, a los diferentes actores sociales y a especialistas para asesoramientos específicos, intercambios de experiencias y acuerdos de colaboración.</w:t>
      </w:r>
    </w:p>
    <w:p w14:paraId="39F62531" w14:textId="77777777" w:rsidR="00415B5B" w:rsidRPr="00DB56D3" w:rsidRDefault="00415B5B" w:rsidP="00415B5B">
      <w:pPr>
        <w:jc w:val="both"/>
        <w:rPr>
          <w:rFonts w:ascii="Trebuchet MS" w:hAnsi="Trebuchet MS" w:cs="Arial"/>
          <w:b/>
          <w:bCs/>
          <w:color w:val="000000"/>
        </w:rPr>
      </w:pPr>
    </w:p>
    <w:p w14:paraId="32FDA317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lastRenderedPageBreak/>
        <w:t>Artículo 9°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Son funciones del Observatorio</w:t>
      </w:r>
    </w:p>
    <w:p w14:paraId="47667E79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</w:p>
    <w:p w14:paraId="420ECEFC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Analizar las políticas públicas para la inclusión educativa plena de las diferentes áreas de gobierno y elaborar nuevas propuestas. </w:t>
      </w:r>
    </w:p>
    <w:p w14:paraId="4D276A05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Realizar estudios comparativos entre las ofertas educativas y las demandas científicas, tecnológicas, culturales, artísticas y deportivas de la ciudad. </w:t>
      </w:r>
    </w:p>
    <w:p w14:paraId="7C1B1ECD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Estudiar la vinculación de las instituciones y centros educativos con el mercado del trabajo y el aparato productivo. </w:t>
      </w:r>
    </w:p>
    <w:p w14:paraId="37798846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Sistematizar información para poder evaluar integralmente los servicios educativos, de salud, acción social, desarrollo urbano de promoción del empleo, del trabajo y otros, en las diferentes áreas de gobierno que promuevan acciones que aporten al desarrollo de la comunidad para favorecer la inclusión educativa plena. </w:t>
      </w:r>
    </w:p>
    <w:p w14:paraId="4C6DAB30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Evaluar la articulación de los recursos humanos, técnicos y financieros del conjunto del gobierno para consolidar la inclusión educativa plena. </w:t>
      </w:r>
    </w:p>
    <w:p w14:paraId="264D2E66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Asesorar en la implementación de políticas integradas y proyectos de desarrollo e innovación que promuevan la inclusión educativa plena </w:t>
      </w:r>
    </w:p>
    <w:p w14:paraId="79F9D059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Propender al intercambio de información y experiencias con entidades análogas. </w:t>
      </w:r>
    </w:p>
    <w:p w14:paraId="7FBAE99A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Analizar la oferta educativa de la Ciudad y cotejarla con las ofertas educativas de otras ciudades y países. </w:t>
      </w:r>
    </w:p>
    <w:p w14:paraId="40A0C224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Analizar los presupuestos de las diferentes jurisdicciones las partidas destinadas a la inclusión educativa plena, y realizar las propuestas pertinentes. </w:t>
      </w:r>
    </w:p>
    <w:p w14:paraId="7244A908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Formular la propuesta de su presupuesto que eleva a la Jefatura de Gobierno. </w:t>
      </w:r>
    </w:p>
    <w:p w14:paraId="4F157C76" w14:textId="77777777" w:rsidR="00415B5B" w:rsidRPr="00DB56D3" w:rsidRDefault="00415B5B" w:rsidP="00415B5B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 xml:space="preserve">Establecer en el término de ciento ochenta (180) días de la creación, su reglamento interno. </w:t>
      </w:r>
    </w:p>
    <w:p w14:paraId="06548BB8" w14:textId="77777777" w:rsidR="00415B5B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7480C4F1" w14:textId="77777777" w:rsidR="00415B5B" w:rsidRPr="00DB56D3" w:rsidRDefault="00415B5B" w:rsidP="00415B5B">
      <w:pPr>
        <w:jc w:val="center"/>
        <w:rPr>
          <w:rFonts w:ascii="Trebuchet MS" w:hAnsi="Trebuchet MS" w:cs="Arial"/>
          <w:b/>
          <w:bCs/>
          <w:color w:val="000000"/>
        </w:rPr>
      </w:pPr>
    </w:p>
    <w:p w14:paraId="0B104D1C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TÍTULO III</w:t>
      </w:r>
    </w:p>
    <w:p w14:paraId="0B6AF2E2" w14:textId="77777777" w:rsidR="00415B5B" w:rsidRPr="00DB56D3" w:rsidRDefault="00415B5B" w:rsidP="00415B5B">
      <w:pPr>
        <w:jc w:val="center"/>
        <w:rPr>
          <w:rFonts w:ascii="Trebuchet MS" w:hAnsi="Trebuchet MS" w:cs="Arial"/>
          <w:color w:val="000000"/>
        </w:rPr>
      </w:pPr>
      <w:proofErr w:type="gramStart"/>
      <w:r w:rsidRPr="00DB56D3">
        <w:rPr>
          <w:rFonts w:ascii="Trebuchet MS" w:hAnsi="Trebuchet MS" w:cs="Arial"/>
          <w:b/>
          <w:bCs/>
          <w:color w:val="000000"/>
        </w:rPr>
        <w:t>Del informe de la aplicación de esta Ley.</w:t>
      </w:r>
      <w:proofErr w:type="gramEnd"/>
    </w:p>
    <w:p w14:paraId="20F47510" w14:textId="77777777" w:rsidR="00415B5B" w:rsidRPr="00DB56D3" w:rsidRDefault="00415B5B" w:rsidP="00415B5B">
      <w:pPr>
        <w:rPr>
          <w:rFonts w:ascii="Trebuchet MS" w:hAnsi="Trebuchet MS" w:cs="Arial"/>
          <w:b/>
          <w:bCs/>
          <w:color w:val="000000"/>
        </w:rPr>
      </w:pPr>
    </w:p>
    <w:p w14:paraId="5D3B99B0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10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El Observatorio de Educación realiza un informe anual sobre el cumplimiento de la presente Ley, el cual es remitido al Poder Ejecutivo y a la Legislatura antes de la finalización del primer semestre de cada año.</w:t>
      </w:r>
    </w:p>
    <w:p w14:paraId="5283DB97" w14:textId="77777777" w:rsidR="00415B5B" w:rsidRPr="00DB56D3" w:rsidRDefault="00415B5B" w:rsidP="00415B5B">
      <w:pPr>
        <w:jc w:val="both"/>
        <w:rPr>
          <w:rFonts w:ascii="Trebuchet MS" w:hAnsi="Trebuchet MS" w:cs="Arial"/>
          <w:b/>
          <w:bCs/>
          <w:color w:val="000000"/>
        </w:rPr>
      </w:pPr>
    </w:p>
    <w:p w14:paraId="278C03DA" w14:textId="77777777" w:rsidR="00415B5B" w:rsidRDefault="00415B5B" w:rsidP="00415B5B">
      <w:pPr>
        <w:jc w:val="both"/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b/>
          <w:bCs/>
          <w:color w:val="000000"/>
        </w:rPr>
        <w:t>Artículo 11</w:t>
      </w:r>
      <w:proofErr w:type="gramStart"/>
      <w:r w:rsidRPr="00DB56D3">
        <w:rPr>
          <w:rFonts w:ascii="Trebuchet MS" w:hAnsi="Trebuchet MS" w:cs="Arial"/>
          <w:b/>
          <w:bCs/>
          <w:color w:val="000000"/>
        </w:rPr>
        <w:t>.</w:t>
      </w:r>
      <w:r w:rsidRPr="00DB56D3">
        <w:rPr>
          <w:rFonts w:ascii="Trebuchet MS" w:hAnsi="Trebuchet MS" w:cs="Arial"/>
          <w:color w:val="000000"/>
        </w:rPr>
        <w:t>-</w:t>
      </w:r>
      <w:proofErr w:type="gramEnd"/>
      <w:r w:rsidRPr="00DB56D3">
        <w:rPr>
          <w:rFonts w:ascii="Trebuchet MS" w:hAnsi="Trebuchet MS" w:cs="Arial"/>
          <w:color w:val="000000"/>
        </w:rPr>
        <w:t xml:space="preserve"> Comuníquese, etc.</w:t>
      </w:r>
    </w:p>
    <w:p w14:paraId="417C8D6C" w14:textId="77777777" w:rsidR="00415B5B" w:rsidRPr="00DB56D3" w:rsidRDefault="00415B5B" w:rsidP="00415B5B">
      <w:pPr>
        <w:jc w:val="both"/>
        <w:rPr>
          <w:rFonts w:ascii="Trebuchet MS" w:hAnsi="Trebuchet MS" w:cs="Arial"/>
          <w:color w:val="000000"/>
        </w:rPr>
      </w:pPr>
    </w:p>
    <w:p w14:paraId="624A5028" w14:textId="77777777" w:rsidR="00415B5B" w:rsidRPr="00DB56D3" w:rsidRDefault="00415B5B" w:rsidP="00415B5B">
      <w:pPr>
        <w:jc w:val="right"/>
        <w:rPr>
          <w:rFonts w:ascii="Trebuchet MS" w:hAnsi="Trebuchet MS" w:cs="Arial"/>
          <w:color w:val="000000"/>
          <w:sz w:val="16"/>
          <w:szCs w:val="16"/>
        </w:rPr>
      </w:pPr>
      <w:r w:rsidRPr="00DB56D3">
        <w:rPr>
          <w:rFonts w:ascii="Trebuchet MS" w:hAnsi="Trebuchet MS" w:cs="Arial"/>
          <w:color w:val="000000"/>
          <w:sz w:val="16"/>
          <w:szCs w:val="16"/>
        </w:rPr>
        <w:t xml:space="preserve">DIEGO SANTILLI </w:t>
      </w:r>
    </w:p>
    <w:p w14:paraId="57F20C43" w14:textId="77777777" w:rsidR="00415B5B" w:rsidRPr="00DB56D3" w:rsidRDefault="00415B5B" w:rsidP="00415B5B">
      <w:pPr>
        <w:jc w:val="right"/>
        <w:rPr>
          <w:rFonts w:ascii="Trebuchet MS" w:hAnsi="Trebuchet MS" w:cs="Arial"/>
          <w:color w:val="000000"/>
          <w:sz w:val="16"/>
          <w:szCs w:val="16"/>
        </w:rPr>
      </w:pPr>
      <w:r w:rsidRPr="00DB56D3">
        <w:rPr>
          <w:rFonts w:ascii="Trebuchet MS" w:hAnsi="Trebuchet MS" w:cs="Arial"/>
          <w:color w:val="000000"/>
          <w:sz w:val="16"/>
          <w:szCs w:val="16"/>
        </w:rPr>
        <w:t xml:space="preserve">CARLOS PÉREZ </w:t>
      </w:r>
    </w:p>
    <w:p w14:paraId="7BCD383C" w14:textId="77777777" w:rsidR="00415B5B" w:rsidRPr="00DB56D3" w:rsidRDefault="00415B5B" w:rsidP="00415B5B">
      <w:pPr>
        <w:rPr>
          <w:rFonts w:ascii="Trebuchet MS" w:hAnsi="Trebuchet MS" w:cs="Arial"/>
          <w:color w:val="000000"/>
        </w:rPr>
      </w:pPr>
      <w:r w:rsidRPr="00DB56D3">
        <w:rPr>
          <w:rFonts w:ascii="Trebuchet MS" w:hAnsi="Trebuchet MS" w:cs="Arial"/>
          <w:color w:val="000000"/>
        </w:rPr>
        <w:t>Sanción: 03/12/2009</w:t>
      </w:r>
    </w:p>
    <w:p w14:paraId="0AF34418" w14:textId="77777777" w:rsidR="00415B5B" w:rsidRPr="00CD20E3" w:rsidRDefault="00415B5B" w:rsidP="00415B5B">
      <w:pPr>
        <w:jc w:val="center"/>
        <w:rPr>
          <w:rFonts w:ascii="Trebuchet MS" w:hAnsi="Trebuchet MS"/>
          <w:b/>
        </w:rPr>
      </w:pPr>
    </w:p>
    <w:p w14:paraId="31880E95" w14:textId="77777777" w:rsidR="00415B5B" w:rsidRPr="00CD20E3" w:rsidRDefault="00415B5B" w:rsidP="00415B5B">
      <w:pPr>
        <w:rPr>
          <w:rFonts w:ascii="Trebuchet MS" w:hAnsi="Trebuchet MS"/>
        </w:rPr>
      </w:pPr>
    </w:p>
    <w:p w14:paraId="4BA43701" w14:textId="77777777" w:rsidR="00415B5B" w:rsidRPr="00CD20E3" w:rsidRDefault="00415B5B" w:rsidP="00415B5B">
      <w:pPr>
        <w:jc w:val="center"/>
        <w:rPr>
          <w:rFonts w:ascii="Trebuchet MS" w:hAnsi="Trebuchet MS"/>
          <w:b/>
        </w:rPr>
      </w:pPr>
    </w:p>
    <w:p w14:paraId="75DF0923" w14:textId="77777777" w:rsidR="00415B5B" w:rsidRPr="00CD20E3" w:rsidRDefault="00415B5B" w:rsidP="00415B5B">
      <w:pPr>
        <w:jc w:val="center"/>
        <w:rPr>
          <w:rFonts w:ascii="Trebuchet MS" w:hAnsi="Trebuchet MS"/>
          <w:b/>
          <w:lang w:val="es-MX"/>
        </w:rPr>
      </w:pPr>
    </w:p>
    <w:p w14:paraId="086E7383" w14:textId="77777777" w:rsidR="00415B5B" w:rsidRPr="00CD20E3" w:rsidRDefault="00415B5B" w:rsidP="00415B5B">
      <w:pPr>
        <w:jc w:val="center"/>
        <w:rPr>
          <w:rFonts w:ascii="Trebuchet MS" w:hAnsi="Trebuchet MS"/>
          <w:b/>
          <w:lang w:val="es-MX"/>
        </w:rPr>
      </w:pPr>
    </w:p>
    <w:p w14:paraId="10521C5E" w14:textId="77777777" w:rsidR="00415B5B" w:rsidRPr="00CD20E3" w:rsidRDefault="00415B5B" w:rsidP="00415B5B">
      <w:pPr>
        <w:jc w:val="center"/>
        <w:rPr>
          <w:rFonts w:ascii="Trebuchet MS" w:hAnsi="Trebuchet MS"/>
          <w:b/>
          <w:lang w:val="es-MX"/>
        </w:rPr>
      </w:pPr>
    </w:p>
    <w:p w14:paraId="39170955" w14:textId="77777777" w:rsidR="00415B5B" w:rsidRPr="00CD20E3" w:rsidRDefault="00415B5B" w:rsidP="00415B5B">
      <w:pPr>
        <w:jc w:val="center"/>
        <w:rPr>
          <w:rFonts w:ascii="Trebuchet MS" w:hAnsi="Trebuchet MS"/>
          <w:b/>
          <w:lang w:val="es-MX"/>
        </w:rPr>
      </w:pPr>
    </w:p>
    <w:p w14:paraId="43CDCAC9" w14:textId="77777777" w:rsidR="00415B5B" w:rsidRPr="00CD20E3" w:rsidRDefault="00415B5B" w:rsidP="00415B5B">
      <w:pPr>
        <w:jc w:val="center"/>
        <w:rPr>
          <w:rFonts w:ascii="Trebuchet MS" w:hAnsi="Trebuchet MS"/>
          <w:b/>
          <w:lang w:val="es-MX"/>
        </w:rPr>
      </w:pPr>
    </w:p>
    <w:p w14:paraId="48E950BE" w14:textId="77777777" w:rsidR="00415B5B" w:rsidRPr="00CD20E3" w:rsidRDefault="00415B5B" w:rsidP="00415B5B">
      <w:pPr>
        <w:jc w:val="center"/>
        <w:rPr>
          <w:rFonts w:ascii="Trebuchet MS" w:hAnsi="Trebuchet MS"/>
          <w:b/>
          <w:lang w:val="es-MX"/>
        </w:rPr>
      </w:pPr>
    </w:p>
    <w:p w14:paraId="39CB6D0E" w14:textId="77777777" w:rsidR="00415B5B" w:rsidRPr="00CD20E3" w:rsidRDefault="00415B5B" w:rsidP="00415B5B">
      <w:pPr>
        <w:jc w:val="center"/>
        <w:rPr>
          <w:rFonts w:ascii="Trebuchet MS" w:hAnsi="Trebuchet MS"/>
          <w:b/>
          <w:lang w:val="es-MX"/>
        </w:rPr>
      </w:pPr>
    </w:p>
    <w:p w14:paraId="4C23785E" w14:textId="77777777" w:rsidR="00415B5B" w:rsidRPr="00A67B9E" w:rsidRDefault="00415B5B" w:rsidP="00415B5B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8D7"/>
    <w:multiLevelType w:val="multilevel"/>
    <w:tmpl w:val="F7982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5919DA"/>
    <w:multiLevelType w:val="multilevel"/>
    <w:tmpl w:val="D1E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1">
      <w:startOverride w:val="1"/>
    </w:lvlOverride>
  </w:num>
  <w:num w:numId="8">
    <w:abstractNumId w:val="2"/>
    <w:lvlOverride w:ilvl="1">
      <w:startOverride w:val="5"/>
    </w:lvlOverride>
  </w:num>
  <w:num w:numId="9">
    <w:abstractNumId w:val="2"/>
    <w:lvlOverride w:ilvl="1">
      <w:startOverride w:val="5"/>
    </w:lvlOverride>
  </w:num>
  <w:num w:numId="10">
    <w:abstractNumId w:val="6"/>
  </w:num>
  <w:num w:numId="11">
    <w:abstractNumId w:val="3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15B5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415B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415B5B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415B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415B5B"/>
    <w:rPr>
      <w:rFonts w:ascii="Arial" w:eastAsia="Times New Roman" w:hAnsi="Arial" w:cs="Arial"/>
      <w:b/>
      <w:bCs/>
      <w:sz w:val="26"/>
      <w:szCs w:val="26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4498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2021-05-07T17:28:00Z</dcterms:created>
  <dcterms:modified xsi:type="dcterms:W3CDTF">2021-05-07T17:28:00Z</dcterms:modified>
</cp:coreProperties>
</file>