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87B89" w14:textId="77777777" w:rsidR="0080395C" w:rsidRDefault="0080395C" w:rsidP="0080395C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</w:p>
    <w:p w14:paraId="6DC31061" w14:textId="77777777" w:rsidR="0080395C" w:rsidRPr="003C33FB" w:rsidRDefault="0080395C" w:rsidP="0080395C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bookmarkStart w:id="0" w:name="_GoBack"/>
      <w:bookmarkEnd w:id="0"/>
      <w:r w:rsidRPr="003C33FB">
        <w:rPr>
          <w:rFonts w:ascii="Trebuchet MS" w:hAnsi="Trebuchet MS"/>
          <w:b/>
        </w:rPr>
        <w:t>MODIF</w:t>
      </w:r>
      <w:r w:rsidRPr="003C33FB">
        <w:rPr>
          <w:rFonts w:ascii="Trebuchet MS" w:hAnsi="Trebuchet MS"/>
          <w:b/>
          <w:caps/>
        </w:rPr>
        <w:t>í</w:t>
      </w:r>
      <w:r w:rsidRPr="003C33FB">
        <w:rPr>
          <w:rFonts w:ascii="Trebuchet MS" w:hAnsi="Trebuchet MS"/>
          <w:b/>
        </w:rPr>
        <w:t>CASE EL ESTUTO DEL DOCENTE</w:t>
      </w:r>
    </w:p>
    <w:p w14:paraId="6F585910" w14:textId="77777777" w:rsidR="0080395C" w:rsidRPr="003C33FB" w:rsidRDefault="0080395C" w:rsidP="0080395C">
      <w:pPr>
        <w:jc w:val="both"/>
        <w:rPr>
          <w:rFonts w:ascii="Trebuchet MS" w:hAnsi="Trebuchet MS"/>
          <w:b/>
        </w:rPr>
      </w:pPr>
    </w:p>
    <w:p w14:paraId="2B5DB685" w14:textId="77777777" w:rsidR="0080395C" w:rsidRPr="003C33FB" w:rsidRDefault="0080395C" w:rsidP="0080395C">
      <w:pPr>
        <w:jc w:val="center"/>
        <w:rPr>
          <w:rFonts w:ascii="Trebuchet MS" w:hAnsi="Trebuchet MS"/>
          <w:b/>
        </w:rPr>
      </w:pPr>
      <w:r w:rsidRPr="003C33FB">
        <w:rPr>
          <w:rFonts w:ascii="Trebuchet MS" w:hAnsi="Trebuchet MS"/>
          <w:b/>
        </w:rPr>
        <w:t xml:space="preserve">LEGISLATURA DE LA CIUDAD AUTÓNOMA DE </w:t>
      </w:r>
      <w:proofErr w:type="gramStart"/>
      <w:r w:rsidRPr="003C33FB">
        <w:rPr>
          <w:rFonts w:ascii="Trebuchet MS" w:hAnsi="Trebuchet MS"/>
          <w:b/>
        </w:rPr>
        <w:t>BUENOS AIRES</w:t>
      </w:r>
      <w:proofErr w:type="gramEnd"/>
    </w:p>
    <w:p w14:paraId="452FE1F6" w14:textId="77777777" w:rsidR="0080395C" w:rsidRPr="003C33FB" w:rsidRDefault="0080395C" w:rsidP="0080395C">
      <w:pPr>
        <w:jc w:val="center"/>
        <w:rPr>
          <w:rFonts w:ascii="Trebuchet MS" w:hAnsi="Trebuchet MS"/>
          <w:b/>
        </w:rPr>
      </w:pPr>
    </w:p>
    <w:p w14:paraId="58FC6572" w14:textId="77777777" w:rsidR="0080395C" w:rsidRPr="003C33FB" w:rsidRDefault="0080395C" w:rsidP="0080395C">
      <w:pPr>
        <w:jc w:val="center"/>
        <w:rPr>
          <w:rFonts w:ascii="Trebuchet MS" w:hAnsi="Trebuchet MS"/>
          <w:b/>
        </w:rPr>
      </w:pPr>
      <w:r w:rsidRPr="003C33FB">
        <w:rPr>
          <w:rFonts w:ascii="Trebuchet MS" w:hAnsi="Trebuchet MS"/>
          <w:b/>
        </w:rPr>
        <w:t>LEY Nº 803</w:t>
      </w:r>
    </w:p>
    <w:p w14:paraId="65CCA067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76326F06" w14:textId="77777777" w:rsidR="0080395C" w:rsidRPr="003C33FB" w:rsidRDefault="0080395C" w:rsidP="0080395C">
      <w:pPr>
        <w:jc w:val="right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Buenos Aires, 02 de </w:t>
      </w:r>
      <w:proofErr w:type="spellStart"/>
      <w:proofErr w:type="gramStart"/>
      <w:r w:rsidRPr="003C33FB">
        <w:rPr>
          <w:rFonts w:ascii="Trebuchet MS" w:hAnsi="Trebuchet MS" w:cs="Arial"/>
        </w:rPr>
        <w:t>julio</w:t>
      </w:r>
      <w:proofErr w:type="spellEnd"/>
      <w:proofErr w:type="gramEnd"/>
      <w:r w:rsidRPr="003C33FB">
        <w:rPr>
          <w:rFonts w:ascii="Trebuchet MS" w:hAnsi="Trebuchet MS" w:cs="Arial"/>
        </w:rPr>
        <w:t xml:space="preserve"> de 2002.</w:t>
      </w:r>
    </w:p>
    <w:p w14:paraId="07DA30B2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588AC559" w14:textId="77777777" w:rsidR="0080395C" w:rsidRPr="003C33FB" w:rsidRDefault="0080395C" w:rsidP="0080395C">
      <w:pPr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 </w:t>
      </w:r>
    </w:p>
    <w:p w14:paraId="5EC1D95F" w14:textId="77777777" w:rsidR="0080395C" w:rsidRPr="003C33FB" w:rsidRDefault="0080395C" w:rsidP="0080395C">
      <w:pPr>
        <w:jc w:val="center"/>
        <w:rPr>
          <w:rFonts w:ascii="Trebuchet MS" w:hAnsi="Trebuchet MS" w:cs="Arial"/>
          <w:b/>
          <w:caps/>
        </w:rPr>
      </w:pPr>
      <w:r w:rsidRPr="003C33FB">
        <w:rPr>
          <w:rFonts w:ascii="Trebuchet MS" w:hAnsi="Trebuchet MS" w:cs="Arial"/>
          <w:b/>
          <w:caps/>
        </w:rPr>
        <w:t xml:space="preserve">La Legislatura de la Ciudad Autónoma de </w:t>
      </w:r>
      <w:proofErr w:type="gramStart"/>
      <w:r w:rsidRPr="003C33FB">
        <w:rPr>
          <w:rFonts w:ascii="Trebuchet MS" w:hAnsi="Trebuchet MS" w:cs="Arial"/>
          <w:b/>
          <w:caps/>
        </w:rPr>
        <w:t>Buenos Aires</w:t>
      </w:r>
      <w:proofErr w:type="gramEnd"/>
    </w:p>
    <w:p w14:paraId="4DBCFCE2" w14:textId="77777777" w:rsidR="0080395C" w:rsidRPr="003C33FB" w:rsidRDefault="0080395C" w:rsidP="0080395C">
      <w:pPr>
        <w:jc w:val="center"/>
        <w:rPr>
          <w:rFonts w:ascii="Trebuchet MS" w:hAnsi="Trebuchet MS" w:cs="Arial"/>
          <w:b/>
          <w:caps/>
        </w:rPr>
      </w:pPr>
      <w:r w:rsidRPr="003C33FB">
        <w:rPr>
          <w:rFonts w:ascii="Trebuchet MS" w:hAnsi="Trebuchet MS" w:cs="Arial"/>
          <w:b/>
          <w:caps/>
        </w:rPr>
        <w:t>sanciona con fuerza de Ley</w:t>
      </w:r>
    </w:p>
    <w:p w14:paraId="663E4F1A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7F6D92F3" w14:textId="77777777" w:rsidR="0080395C" w:rsidRPr="003C33FB" w:rsidRDefault="0080395C" w:rsidP="0080395C">
      <w:pPr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 </w:t>
      </w:r>
    </w:p>
    <w:p w14:paraId="29AB73CF" w14:textId="77777777" w:rsidR="0080395C" w:rsidRPr="003C33FB" w:rsidRDefault="0080395C" w:rsidP="0080395C">
      <w:pPr>
        <w:ind w:firstLine="709"/>
        <w:jc w:val="both"/>
        <w:rPr>
          <w:rFonts w:ascii="Trebuchet MS" w:hAnsi="Trebuchet MS" w:cs="Arial"/>
          <w:szCs w:val="24"/>
          <w:lang w:val="es-AR"/>
        </w:rPr>
      </w:pPr>
      <w:r w:rsidRPr="003C33FB">
        <w:rPr>
          <w:rFonts w:ascii="Trebuchet MS" w:hAnsi="Trebuchet MS" w:cs="Arial"/>
          <w:szCs w:val="24"/>
          <w:lang w:val="es-AR"/>
        </w:rPr>
        <w:t>Artículo 1º.- Incorpórase al apartado I del artículo 128 de la Ordenanza Nº 40.593 los índices para los cargos de maestra jardinera (TD. Turno Doble) y maestra celadora (TD. Turno Doble) quedando el mismo redactado de la siguiente forma:</w:t>
      </w:r>
    </w:p>
    <w:p w14:paraId="318685AC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10C2D72D" w14:textId="77777777" w:rsidR="0080395C" w:rsidRPr="003C33FB" w:rsidRDefault="0080395C" w:rsidP="0080395C">
      <w:pPr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>I - ÁREA DE LA EDUCACIÓN INICIAL</w:t>
      </w:r>
    </w:p>
    <w:p w14:paraId="1DC59BF6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40FCF233" w14:textId="77777777" w:rsidR="0080395C" w:rsidRPr="003C33FB" w:rsidRDefault="0080395C" w:rsidP="0080395C">
      <w:pPr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Cargo </w:t>
      </w:r>
      <w:proofErr w:type="spellStart"/>
      <w:r w:rsidRPr="003C33FB">
        <w:rPr>
          <w:rFonts w:ascii="Trebuchet MS" w:hAnsi="Trebuchet MS" w:cs="Arial"/>
        </w:rPr>
        <w:t>índices</w:t>
      </w:r>
      <w:proofErr w:type="spellEnd"/>
      <w:r w:rsidRPr="003C33FB">
        <w:rPr>
          <w:rFonts w:ascii="Trebuchet MS" w:hAnsi="Trebuchet MS" w:cs="Arial"/>
        </w:rPr>
        <w:t xml:space="preserve"> de la </w:t>
      </w:r>
      <w:proofErr w:type="spellStart"/>
      <w:r w:rsidRPr="003C33FB">
        <w:rPr>
          <w:rFonts w:ascii="Trebuchet MS" w:hAnsi="Trebuchet MS" w:cs="Arial"/>
        </w:rPr>
        <w:t>asignación</w:t>
      </w:r>
      <w:proofErr w:type="spellEnd"/>
      <w:r w:rsidRPr="003C33FB">
        <w:rPr>
          <w:rFonts w:ascii="Trebuchet MS" w:hAnsi="Trebuchet MS" w:cs="Arial"/>
        </w:rPr>
        <w:t xml:space="preserve"> del cargo </w:t>
      </w:r>
    </w:p>
    <w:p w14:paraId="42E47375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512E1CAE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Director </w:t>
      </w:r>
      <w:proofErr w:type="spellStart"/>
      <w:r w:rsidRPr="003C33FB">
        <w:rPr>
          <w:rFonts w:ascii="Trebuchet MS" w:hAnsi="Trebuchet MS" w:cs="Arial"/>
        </w:rPr>
        <w:t>Adjunto</w:t>
      </w:r>
      <w:proofErr w:type="spellEnd"/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 </w:t>
      </w:r>
      <w:r w:rsidRPr="003C33FB">
        <w:rPr>
          <w:rFonts w:ascii="Trebuchet MS" w:hAnsi="Trebuchet MS" w:cs="Arial"/>
        </w:rPr>
        <w:tab/>
        <w:t xml:space="preserve">2399 </w:t>
      </w:r>
    </w:p>
    <w:p w14:paraId="710F1C7E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Supervisor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2311 </w:t>
      </w:r>
    </w:p>
    <w:p w14:paraId="6BC51371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Supervisor </w:t>
      </w:r>
      <w:proofErr w:type="spellStart"/>
      <w:r w:rsidRPr="003C33FB">
        <w:rPr>
          <w:rFonts w:ascii="Trebuchet MS" w:hAnsi="Trebuchet MS" w:cs="Arial"/>
        </w:rPr>
        <w:t>Adjunto</w:t>
      </w:r>
      <w:proofErr w:type="spellEnd"/>
      <w:r w:rsidRPr="003C33FB">
        <w:rPr>
          <w:rFonts w:ascii="Trebuchet MS" w:hAnsi="Trebuchet MS" w:cs="Arial"/>
        </w:rPr>
        <w:t xml:space="preserve">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2169 </w:t>
      </w:r>
    </w:p>
    <w:p w14:paraId="0287D80E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Director (TC)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2027 </w:t>
      </w:r>
    </w:p>
    <w:p w14:paraId="30784A42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Director (TS)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1145 </w:t>
      </w:r>
    </w:p>
    <w:p w14:paraId="11C59029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Vicedirector</w:t>
      </w:r>
      <w:proofErr w:type="spellEnd"/>
      <w:r w:rsidRPr="003C33FB">
        <w:rPr>
          <w:rFonts w:ascii="Trebuchet MS" w:hAnsi="Trebuchet MS" w:cs="Arial"/>
        </w:rPr>
        <w:t xml:space="preserve"> (TC)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1763 </w:t>
      </w:r>
    </w:p>
    <w:p w14:paraId="633838A1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Vicedirector</w:t>
      </w:r>
      <w:proofErr w:type="spellEnd"/>
      <w:r w:rsidRPr="003C33FB">
        <w:rPr>
          <w:rFonts w:ascii="Trebuchet MS" w:hAnsi="Trebuchet MS" w:cs="Arial"/>
        </w:rPr>
        <w:t xml:space="preserve"> (TS)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  996 </w:t>
      </w:r>
    </w:p>
    <w:p w14:paraId="7EE15A1E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Secretaria</w:t>
      </w:r>
      <w:proofErr w:type="spellEnd"/>
      <w:r w:rsidRPr="003C33FB">
        <w:rPr>
          <w:rFonts w:ascii="Trebuchet MS" w:hAnsi="Trebuchet MS" w:cs="Arial"/>
        </w:rPr>
        <w:t xml:space="preserve"> (TC)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1533 </w:t>
      </w:r>
    </w:p>
    <w:p w14:paraId="264B24BD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Secretaria</w:t>
      </w:r>
      <w:proofErr w:type="spellEnd"/>
      <w:r w:rsidRPr="003C33FB">
        <w:rPr>
          <w:rFonts w:ascii="Trebuchet MS" w:hAnsi="Trebuchet MS" w:cs="Arial"/>
        </w:rPr>
        <w:t xml:space="preserve"> (TS)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  866 </w:t>
      </w:r>
    </w:p>
    <w:p w14:paraId="2BCD399B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lastRenderedPageBreak/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Jardinera</w:t>
      </w:r>
      <w:proofErr w:type="spellEnd"/>
      <w:r w:rsidRPr="003C33FB">
        <w:rPr>
          <w:rFonts w:ascii="Trebuchet MS" w:hAnsi="Trebuchet MS" w:cs="Arial"/>
        </w:rPr>
        <w:t xml:space="preserve"> (TD)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1506 </w:t>
      </w:r>
    </w:p>
    <w:p w14:paraId="7B27CC11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Jardinera</w:t>
      </w:r>
      <w:proofErr w:type="spellEnd"/>
      <w:r w:rsidRPr="003C33FB">
        <w:rPr>
          <w:rFonts w:ascii="Trebuchet MS" w:hAnsi="Trebuchet MS" w:cs="Arial"/>
        </w:rPr>
        <w:t xml:space="preserve"> (TS)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  753 </w:t>
      </w:r>
    </w:p>
    <w:p w14:paraId="40CCA36F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Jardinera</w:t>
      </w:r>
      <w:proofErr w:type="spellEnd"/>
      <w:r w:rsidRPr="003C33FB">
        <w:rPr>
          <w:rFonts w:ascii="Trebuchet MS" w:hAnsi="Trebuchet MS" w:cs="Arial"/>
        </w:rPr>
        <w:t xml:space="preserve"> de </w:t>
      </w:r>
      <w:proofErr w:type="spellStart"/>
      <w:r w:rsidRPr="003C33FB">
        <w:rPr>
          <w:rFonts w:ascii="Trebuchet MS" w:hAnsi="Trebuchet MS" w:cs="Arial"/>
        </w:rPr>
        <w:t>Apoyo</w:t>
      </w:r>
      <w:proofErr w:type="spellEnd"/>
      <w:r w:rsidRPr="003C33FB">
        <w:rPr>
          <w:rFonts w:ascii="Trebuchet MS" w:hAnsi="Trebuchet MS" w:cs="Arial"/>
        </w:rPr>
        <w:t xml:space="preserve"> (TS) </w:t>
      </w:r>
      <w:r w:rsidRPr="003C33FB">
        <w:rPr>
          <w:rFonts w:ascii="Trebuchet MS" w:hAnsi="Trebuchet MS" w:cs="Arial"/>
        </w:rPr>
        <w:tab/>
        <w:t xml:space="preserve">  753 </w:t>
      </w:r>
    </w:p>
    <w:p w14:paraId="05A6AB86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Celadora</w:t>
      </w:r>
      <w:proofErr w:type="spellEnd"/>
      <w:r w:rsidRPr="003C33FB">
        <w:rPr>
          <w:rFonts w:ascii="Trebuchet MS" w:hAnsi="Trebuchet MS" w:cs="Arial"/>
        </w:rPr>
        <w:t xml:space="preserve"> (TS)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  704 </w:t>
      </w:r>
    </w:p>
    <w:p w14:paraId="660EF11E" w14:textId="77777777" w:rsidR="0080395C" w:rsidRPr="003C33FB" w:rsidRDefault="0080395C" w:rsidP="0080395C">
      <w:pPr>
        <w:ind w:left="2124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Maestra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Celadora</w:t>
      </w:r>
      <w:proofErr w:type="spellEnd"/>
      <w:r w:rsidRPr="003C33FB">
        <w:rPr>
          <w:rFonts w:ascii="Trebuchet MS" w:hAnsi="Trebuchet MS" w:cs="Arial"/>
        </w:rPr>
        <w:t xml:space="preserve"> (TD) </w:t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</w:r>
      <w:r w:rsidRPr="003C33FB">
        <w:rPr>
          <w:rFonts w:ascii="Trebuchet MS" w:hAnsi="Trebuchet MS" w:cs="Arial"/>
        </w:rPr>
        <w:tab/>
        <w:t xml:space="preserve">1408 </w:t>
      </w:r>
    </w:p>
    <w:p w14:paraId="66450A00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019D96BE" w14:textId="77777777" w:rsidR="0080395C" w:rsidRPr="003C33FB" w:rsidRDefault="0080395C" w:rsidP="0080395C">
      <w:pPr>
        <w:ind w:firstLine="708"/>
        <w:rPr>
          <w:rFonts w:ascii="Trebuchet MS" w:hAnsi="Trebuchet MS" w:cs="Arial"/>
        </w:rPr>
      </w:pPr>
      <w:proofErr w:type="spellStart"/>
      <w:r w:rsidRPr="003C33FB">
        <w:rPr>
          <w:rFonts w:ascii="Trebuchet MS" w:hAnsi="Trebuchet MS" w:cs="Arial"/>
        </w:rPr>
        <w:t>Artículo</w:t>
      </w:r>
      <w:proofErr w:type="spellEnd"/>
      <w:r w:rsidRPr="003C33FB">
        <w:rPr>
          <w:rFonts w:ascii="Trebuchet MS" w:hAnsi="Trebuchet MS" w:cs="Arial"/>
        </w:rPr>
        <w:t xml:space="preserve"> 2º</w:t>
      </w:r>
      <w:proofErr w:type="gramStart"/>
      <w:r w:rsidRPr="003C33FB">
        <w:rPr>
          <w:rFonts w:ascii="Trebuchet MS" w:hAnsi="Trebuchet MS" w:cs="Arial"/>
        </w:rPr>
        <w:t>.-</w:t>
      </w:r>
      <w:proofErr w:type="gram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Comuníquese</w:t>
      </w:r>
      <w:proofErr w:type="spellEnd"/>
      <w:r w:rsidRPr="003C33FB">
        <w:rPr>
          <w:rFonts w:ascii="Trebuchet MS" w:hAnsi="Trebuchet MS" w:cs="Arial"/>
        </w:rPr>
        <w:t>, etc.</w:t>
      </w:r>
    </w:p>
    <w:p w14:paraId="15ACAA5A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1C10026F" w14:textId="77777777" w:rsidR="0080395C" w:rsidRPr="003C33FB" w:rsidRDefault="0080395C" w:rsidP="0080395C">
      <w:pPr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>CLÁUSULA TRANSITORIA</w:t>
      </w:r>
    </w:p>
    <w:p w14:paraId="2D3A2318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2A612BD8" w14:textId="77777777" w:rsidR="0080395C" w:rsidRPr="003C33FB" w:rsidRDefault="0080395C" w:rsidP="0080395C">
      <w:pPr>
        <w:ind w:firstLine="709"/>
        <w:jc w:val="both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Los </w:t>
      </w:r>
      <w:proofErr w:type="spellStart"/>
      <w:r w:rsidRPr="003C33FB">
        <w:rPr>
          <w:rFonts w:ascii="Trebuchet MS" w:hAnsi="Trebuchet MS" w:cs="Arial"/>
        </w:rPr>
        <w:t>índices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establecidos</w:t>
      </w:r>
      <w:proofErr w:type="spellEnd"/>
      <w:r w:rsidRPr="003C33FB">
        <w:rPr>
          <w:rFonts w:ascii="Trebuchet MS" w:hAnsi="Trebuchet MS" w:cs="Arial"/>
        </w:rPr>
        <w:t xml:space="preserve"> en el </w:t>
      </w:r>
      <w:proofErr w:type="spellStart"/>
      <w:r w:rsidRPr="003C33FB">
        <w:rPr>
          <w:rFonts w:ascii="Trebuchet MS" w:hAnsi="Trebuchet MS" w:cs="Arial"/>
        </w:rPr>
        <w:t>artículo</w:t>
      </w:r>
      <w:proofErr w:type="spellEnd"/>
      <w:r w:rsidRPr="003C33FB">
        <w:rPr>
          <w:rFonts w:ascii="Trebuchet MS" w:hAnsi="Trebuchet MS" w:cs="Arial"/>
        </w:rPr>
        <w:t xml:space="preserve"> 1° de la </w:t>
      </w:r>
      <w:proofErr w:type="spellStart"/>
      <w:r w:rsidRPr="003C33FB">
        <w:rPr>
          <w:rFonts w:ascii="Trebuchet MS" w:hAnsi="Trebuchet MS" w:cs="Arial"/>
        </w:rPr>
        <w:t>presente</w:t>
      </w:r>
      <w:proofErr w:type="spellEnd"/>
      <w:r w:rsidRPr="003C33FB">
        <w:rPr>
          <w:rFonts w:ascii="Trebuchet MS" w:hAnsi="Trebuchet MS" w:cs="Arial"/>
        </w:rPr>
        <w:t xml:space="preserve"> ley </w:t>
      </w:r>
      <w:proofErr w:type="spellStart"/>
      <w:r w:rsidRPr="003C33FB">
        <w:rPr>
          <w:rFonts w:ascii="Trebuchet MS" w:hAnsi="Trebuchet MS" w:cs="Arial"/>
        </w:rPr>
        <w:t>serán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aplicables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exclusivamente</w:t>
      </w:r>
      <w:proofErr w:type="spellEnd"/>
      <w:r w:rsidRPr="003C33FB">
        <w:rPr>
          <w:rFonts w:ascii="Trebuchet MS" w:hAnsi="Trebuchet MS" w:cs="Arial"/>
        </w:rPr>
        <w:t xml:space="preserve"> a los cargos </w:t>
      </w:r>
      <w:proofErr w:type="spellStart"/>
      <w:r w:rsidRPr="003C33FB">
        <w:rPr>
          <w:rFonts w:ascii="Trebuchet MS" w:hAnsi="Trebuchet MS" w:cs="Arial"/>
        </w:rPr>
        <w:t>que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proofErr w:type="gramStart"/>
      <w:r w:rsidRPr="003C33FB">
        <w:rPr>
          <w:rFonts w:ascii="Trebuchet MS" w:hAnsi="Trebuchet MS" w:cs="Arial"/>
        </w:rPr>
        <w:t>sean</w:t>
      </w:r>
      <w:proofErr w:type="spellEnd"/>
      <w:proofErr w:type="gram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creados</w:t>
      </w:r>
      <w:proofErr w:type="spellEnd"/>
      <w:r w:rsidRPr="003C33FB">
        <w:rPr>
          <w:rFonts w:ascii="Trebuchet MS" w:hAnsi="Trebuchet MS" w:cs="Arial"/>
        </w:rPr>
        <w:t xml:space="preserve"> con </w:t>
      </w:r>
      <w:proofErr w:type="spellStart"/>
      <w:r w:rsidRPr="003C33FB">
        <w:rPr>
          <w:rFonts w:ascii="Trebuchet MS" w:hAnsi="Trebuchet MS" w:cs="Arial"/>
        </w:rPr>
        <w:t>posterioridad</w:t>
      </w:r>
      <w:proofErr w:type="spellEnd"/>
      <w:r w:rsidRPr="003C33FB">
        <w:rPr>
          <w:rFonts w:ascii="Trebuchet MS" w:hAnsi="Trebuchet MS" w:cs="Arial"/>
        </w:rPr>
        <w:t xml:space="preserve"> a la </w:t>
      </w:r>
      <w:proofErr w:type="spellStart"/>
      <w:r w:rsidRPr="003C33FB">
        <w:rPr>
          <w:rFonts w:ascii="Trebuchet MS" w:hAnsi="Trebuchet MS" w:cs="Arial"/>
        </w:rPr>
        <w:t>promulgación</w:t>
      </w:r>
      <w:proofErr w:type="spellEnd"/>
      <w:r w:rsidRPr="003C33FB">
        <w:rPr>
          <w:rFonts w:ascii="Trebuchet MS" w:hAnsi="Trebuchet MS" w:cs="Arial"/>
        </w:rPr>
        <w:t xml:space="preserve"> de la </w:t>
      </w:r>
      <w:proofErr w:type="spellStart"/>
      <w:r w:rsidRPr="003C33FB">
        <w:rPr>
          <w:rFonts w:ascii="Trebuchet MS" w:hAnsi="Trebuchet MS" w:cs="Arial"/>
        </w:rPr>
        <w:t>misma</w:t>
      </w:r>
      <w:proofErr w:type="spellEnd"/>
      <w:r w:rsidRPr="003C33FB">
        <w:rPr>
          <w:rFonts w:ascii="Trebuchet MS" w:hAnsi="Trebuchet MS" w:cs="Arial"/>
        </w:rPr>
        <w:t xml:space="preserve">. </w:t>
      </w:r>
      <w:proofErr w:type="spellStart"/>
      <w:r w:rsidRPr="003C33FB">
        <w:rPr>
          <w:rFonts w:ascii="Trebuchet MS" w:hAnsi="Trebuchet MS" w:cs="Arial"/>
        </w:rPr>
        <w:t>Sólo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podrá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aplicarse</w:t>
      </w:r>
      <w:proofErr w:type="spellEnd"/>
      <w:r w:rsidRPr="003C33FB">
        <w:rPr>
          <w:rFonts w:ascii="Trebuchet MS" w:hAnsi="Trebuchet MS" w:cs="Arial"/>
        </w:rPr>
        <w:t xml:space="preserve"> a los cargos </w:t>
      </w:r>
      <w:proofErr w:type="spellStart"/>
      <w:r w:rsidRPr="003C33FB">
        <w:rPr>
          <w:rFonts w:ascii="Trebuchet MS" w:hAnsi="Trebuchet MS" w:cs="Arial"/>
        </w:rPr>
        <w:t>existentes</w:t>
      </w:r>
      <w:proofErr w:type="spellEnd"/>
      <w:r w:rsidRPr="003C33FB">
        <w:rPr>
          <w:rFonts w:ascii="Trebuchet MS" w:hAnsi="Trebuchet MS" w:cs="Arial"/>
        </w:rPr>
        <w:t xml:space="preserve"> con </w:t>
      </w:r>
      <w:proofErr w:type="spellStart"/>
      <w:r w:rsidRPr="003C33FB">
        <w:rPr>
          <w:rFonts w:ascii="Trebuchet MS" w:hAnsi="Trebuchet MS" w:cs="Arial"/>
        </w:rPr>
        <w:t>anterioridad</w:t>
      </w:r>
      <w:proofErr w:type="spellEnd"/>
      <w:r w:rsidRPr="003C33FB">
        <w:rPr>
          <w:rFonts w:ascii="Trebuchet MS" w:hAnsi="Trebuchet MS" w:cs="Arial"/>
        </w:rPr>
        <w:t xml:space="preserve"> a la </w:t>
      </w:r>
      <w:proofErr w:type="spellStart"/>
      <w:r w:rsidRPr="003C33FB">
        <w:rPr>
          <w:rFonts w:ascii="Trebuchet MS" w:hAnsi="Trebuchet MS" w:cs="Arial"/>
        </w:rPr>
        <w:t>mencionada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fecha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cuando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dichos</w:t>
      </w:r>
      <w:proofErr w:type="spellEnd"/>
      <w:r w:rsidRPr="003C33FB">
        <w:rPr>
          <w:rFonts w:ascii="Trebuchet MS" w:hAnsi="Trebuchet MS" w:cs="Arial"/>
        </w:rPr>
        <w:t xml:space="preserve"> cargos se </w:t>
      </w:r>
      <w:proofErr w:type="spellStart"/>
      <w:r w:rsidRPr="003C33FB">
        <w:rPr>
          <w:rFonts w:ascii="Trebuchet MS" w:hAnsi="Trebuchet MS" w:cs="Arial"/>
        </w:rPr>
        <w:t>encuentren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vacantes</w:t>
      </w:r>
      <w:proofErr w:type="spellEnd"/>
      <w:r w:rsidRPr="003C33FB">
        <w:rPr>
          <w:rFonts w:ascii="Trebuchet MS" w:hAnsi="Trebuchet MS" w:cs="Arial"/>
        </w:rPr>
        <w:t xml:space="preserve"> y </w:t>
      </w:r>
      <w:proofErr w:type="spellStart"/>
      <w:proofErr w:type="gramStart"/>
      <w:r w:rsidRPr="003C33FB">
        <w:rPr>
          <w:rFonts w:ascii="Trebuchet MS" w:hAnsi="Trebuchet MS" w:cs="Arial"/>
        </w:rPr>
        <w:t>sean</w:t>
      </w:r>
      <w:proofErr w:type="spellEnd"/>
      <w:proofErr w:type="gram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afectados</w:t>
      </w:r>
      <w:proofErr w:type="spellEnd"/>
      <w:r w:rsidRPr="003C33FB">
        <w:rPr>
          <w:rFonts w:ascii="Trebuchet MS" w:hAnsi="Trebuchet MS" w:cs="Arial"/>
        </w:rPr>
        <w:t xml:space="preserve"> a </w:t>
      </w:r>
      <w:proofErr w:type="spellStart"/>
      <w:r w:rsidRPr="003C33FB">
        <w:rPr>
          <w:rFonts w:ascii="Trebuchet MS" w:hAnsi="Trebuchet MS" w:cs="Arial"/>
        </w:rPr>
        <w:t>concurso</w:t>
      </w:r>
      <w:proofErr w:type="spellEnd"/>
      <w:r w:rsidRPr="003C33FB">
        <w:rPr>
          <w:rFonts w:ascii="Trebuchet MS" w:hAnsi="Trebuchet MS" w:cs="Arial"/>
        </w:rPr>
        <w:t xml:space="preserve"> de </w:t>
      </w:r>
      <w:proofErr w:type="spellStart"/>
      <w:r w:rsidRPr="003C33FB">
        <w:rPr>
          <w:rFonts w:ascii="Trebuchet MS" w:hAnsi="Trebuchet MS" w:cs="Arial"/>
        </w:rPr>
        <w:t>titularización</w:t>
      </w:r>
      <w:proofErr w:type="spellEnd"/>
      <w:r w:rsidRPr="003C33FB">
        <w:rPr>
          <w:rFonts w:ascii="Trebuchet MS" w:hAnsi="Trebuchet MS" w:cs="Arial"/>
        </w:rPr>
        <w:t xml:space="preserve"> o </w:t>
      </w:r>
      <w:proofErr w:type="spellStart"/>
      <w:r w:rsidRPr="003C33FB">
        <w:rPr>
          <w:rFonts w:ascii="Trebuchet MS" w:hAnsi="Trebuchet MS" w:cs="Arial"/>
        </w:rPr>
        <w:t>traslado</w:t>
      </w:r>
      <w:proofErr w:type="spellEnd"/>
      <w:r w:rsidRPr="003C33FB">
        <w:rPr>
          <w:rFonts w:ascii="Trebuchet MS" w:hAnsi="Trebuchet MS" w:cs="Arial"/>
        </w:rPr>
        <w:t>.</w:t>
      </w:r>
    </w:p>
    <w:p w14:paraId="6CDBD0AD" w14:textId="77777777" w:rsidR="0080395C" w:rsidRPr="003C33FB" w:rsidRDefault="0080395C" w:rsidP="0080395C">
      <w:pPr>
        <w:ind w:firstLine="709"/>
        <w:jc w:val="both"/>
        <w:rPr>
          <w:rFonts w:ascii="Trebuchet MS" w:hAnsi="Trebuchet MS" w:cs="Arial"/>
        </w:rPr>
      </w:pPr>
    </w:p>
    <w:p w14:paraId="47E15ED1" w14:textId="77777777" w:rsidR="0080395C" w:rsidRDefault="0080395C" w:rsidP="0080395C">
      <w:pPr>
        <w:ind w:firstLine="709"/>
        <w:jc w:val="both"/>
        <w:rPr>
          <w:rFonts w:ascii="Trebuchet MS" w:hAnsi="Trebuchet MS" w:cs="Arial"/>
        </w:rPr>
      </w:pPr>
      <w:r w:rsidRPr="003C33FB">
        <w:rPr>
          <w:rFonts w:ascii="Trebuchet MS" w:hAnsi="Trebuchet MS" w:cs="Arial"/>
        </w:rPr>
        <w:t xml:space="preserve">En </w:t>
      </w:r>
      <w:proofErr w:type="spellStart"/>
      <w:r w:rsidRPr="003C33FB">
        <w:rPr>
          <w:rFonts w:ascii="Trebuchet MS" w:hAnsi="Trebuchet MS" w:cs="Arial"/>
        </w:rPr>
        <w:t>ningún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caso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su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aplicación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significará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cambio</w:t>
      </w:r>
      <w:proofErr w:type="spellEnd"/>
      <w:r w:rsidRPr="003C33FB">
        <w:rPr>
          <w:rFonts w:ascii="Trebuchet MS" w:hAnsi="Trebuchet MS" w:cs="Arial"/>
        </w:rPr>
        <w:t xml:space="preserve"> en la </w:t>
      </w:r>
      <w:proofErr w:type="spellStart"/>
      <w:r w:rsidRPr="003C33FB">
        <w:rPr>
          <w:rFonts w:ascii="Trebuchet MS" w:hAnsi="Trebuchet MS" w:cs="Arial"/>
        </w:rPr>
        <w:t>situación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laboral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proofErr w:type="gramStart"/>
      <w:r w:rsidRPr="003C33FB">
        <w:rPr>
          <w:rFonts w:ascii="Trebuchet MS" w:hAnsi="Trebuchet MS" w:cs="Arial"/>
        </w:rPr>
        <w:t>ni</w:t>
      </w:r>
      <w:proofErr w:type="spellEnd"/>
      <w:proofErr w:type="gram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disminución</w:t>
      </w:r>
      <w:proofErr w:type="spellEnd"/>
      <w:r w:rsidRPr="003C33FB">
        <w:rPr>
          <w:rFonts w:ascii="Trebuchet MS" w:hAnsi="Trebuchet MS" w:cs="Arial"/>
        </w:rPr>
        <w:t xml:space="preserve"> de los </w:t>
      </w:r>
      <w:proofErr w:type="spellStart"/>
      <w:r w:rsidRPr="003C33FB">
        <w:rPr>
          <w:rFonts w:ascii="Trebuchet MS" w:hAnsi="Trebuchet MS" w:cs="Arial"/>
        </w:rPr>
        <w:t>haberes</w:t>
      </w:r>
      <w:proofErr w:type="spellEnd"/>
      <w:r w:rsidRPr="003C33FB">
        <w:rPr>
          <w:rFonts w:ascii="Trebuchet MS" w:hAnsi="Trebuchet MS" w:cs="Arial"/>
        </w:rPr>
        <w:t xml:space="preserve"> del personal </w:t>
      </w:r>
      <w:proofErr w:type="spellStart"/>
      <w:r w:rsidRPr="003C33FB">
        <w:rPr>
          <w:rFonts w:ascii="Trebuchet MS" w:hAnsi="Trebuchet MS" w:cs="Arial"/>
        </w:rPr>
        <w:t>docente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que</w:t>
      </w:r>
      <w:proofErr w:type="spellEnd"/>
      <w:r w:rsidRPr="003C33FB">
        <w:rPr>
          <w:rFonts w:ascii="Trebuchet MS" w:hAnsi="Trebuchet MS" w:cs="Arial"/>
        </w:rPr>
        <w:t xml:space="preserve"> se </w:t>
      </w:r>
      <w:proofErr w:type="spellStart"/>
      <w:r w:rsidRPr="003C33FB">
        <w:rPr>
          <w:rFonts w:ascii="Trebuchet MS" w:hAnsi="Trebuchet MS" w:cs="Arial"/>
        </w:rPr>
        <w:t>encuentre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desempeñando</w:t>
      </w:r>
      <w:proofErr w:type="spellEnd"/>
      <w:r w:rsidRPr="003C33FB">
        <w:rPr>
          <w:rFonts w:ascii="Trebuchet MS" w:hAnsi="Trebuchet MS" w:cs="Arial"/>
        </w:rPr>
        <w:t xml:space="preserve"> </w:t>
      </w:r>
      <w:proofErr w:type="spellStart"/>
      <w:r w:rsidRPr="003C33FB">
        <w:rPr>
          <w:rFonts w:ascii="Trebuchet MS" w:hAnsi="Trebuchet MS" w:cs="Arial"/>
        </w:rPr>
        <w:t>tareas</w:t>
      </w:r>
      <w:proofErr w:type="spellEnd"/>
      <w:r w:rsidRPr="003C33FB">
        <w:rPr>
          <w:rFonts w:ascii="Trebuchet MS" w:hAnsi="Trebuchet MS" w:cs="Arial"/>
        </w:rPr>
        <w:t xml:space="preserve"> al </w:t>
      </w:r>
      <w:proofErr w:type="spellStart"/>
      <w:r w:rsidRPr="003C33FB">
        <w:rPr>
          <w:rFonts w:ascii="Trebuchet MS" w:hAnsi="Trebuchet MS" w:cs="Arial"/>
        </w:rPr>
        <w:t>momento</w:t>
      </w:r>
      <w:proofErr w:type="spellEnd"/>
      <w:r w:rsidRPr="003C33FB">
        <w:rPr>
          <w:rFonts w:ascii="Trebuchet MS" w:hAnsi="Trebuchet MS" w:cs="Arial"/>
        </w:rPr>
        <w:t xml:space="preserve"> de la </w:t>
      </w:r>
      <w:proofErr w:type="spellStart"/>
      <w:r w:rsidRPr="003C33FB">
        <w:rPr>
          <w:rFonts w:ascii="Trebuchet MS" w:hAnsi="Trebuchet MS" w:cs="Arial"/>
        </w:rPr>
        <w:t>promulgación</w:t>
      </w:r>
      <w:proofErr w:type="spellEnd"/>
      <w:r w:rsidRPr="003C33FB">
        <w:rPr>
          <w:rFonts w:ascii="Trebuchet MS" w:hAnsi="Trebuchet MS" w:cs="Arial"/>
        </w:rPr>
        <w:t xml:space="preserve"> de la </w:t>
      </w:r>
      <w:proofErr w:type="spellStart"/>
      <w:r w:rsidRPr="003C33FB">
        <w:rPr>
          <w:rFonts w:ascii="Trebuchet MS" w:hAnsi="Trebuchet MS" w:cs="Arial"/>
        </w:rPr>
        <w:t>presente</w:t>
      </w:r>
      <w:proofErr w:type="spellEnd"/>
      <w:r w:rsidRPr="003C33FB">
        <w:rPr>
          <w:rFonts w:ascii="Trebuchet MS" w:hAnsi="Trebuchet MS" w:cs="Arial"/>
        </w:rPr>
        <w:t>.</w:t>
      </w:r>
    </w:p>
    <w:p w14:paraId="2BFF519E" w14:textId="77777777" w:rsidR="0080395C" w:rsidRPr="003C33FB" w:rsidRDefault="0080395C" w:rsidP="0080395C">
      <w:pPr>
        <w:ind w:firstLine="709"/>
        <w:jc w:val="both"/>
        <w:rPr>
          <w:rFonts w:ascii="Trebuchet MS" w:hAnsi="Trebuchet MS" w:cs="Arial"/>
        </w:rPr>
      </w:pPr>
    </w:p>
    <w:p w14:paraId="7CEADE21" w14:textId="77777777" w:rsidR="0080395C" w:rsidRPr="003C33FB" w:rsidRDefault="0080395C" w:rsidP="0080395C">
      <w:pPr>
        <w:rPr>
          <w:rFonts w:ascii="Trebuchet MS" w:hAnsi="Trebuchet MS" w:cs="Arial"/>
        </w:rPr>
      </w:pPr>
    </w:p>
    <w:p w14:paraId="59589FFB" w14:textId="77777777" w:rsidR="0080395C" w:rsidRPr="003C33FB" w:rsidRDefault="0080395C" w:rsidP="0080395C">
      <w:pPr>
        <w:jc w:val="right"/>
        <w:rPr>
          <w:rFonts w:ascii="Trebuchet MS" w:hAnsi="Trebuchet MS" w:cs="Arial"/>
          <w:sz w:val="16"/>
        </w:rPr>
      </w:pPr>
      <w:r w:rsidRPr="003C33FB">
        <w:rPr>
          <w:rFonts w:ascii="Trebuchet MS" w:hAnsi="Trebuchet MS" w:cs="Arial"/>
          <w:sz w:val="16"/>
        </w:rPr>
        <w:t>CRISTIAN CARAM</w:t>
      </w:r>
    </w:p>
    <w:p w14:paraId="37FE5419" w14:textId="77777777" w:rsidR="0080395C" w:rsidRPr="003C33FB" w:rsidRDefault="0080395C" w:rsidP="0080395C">
      <w:pPr>
        <w:jc w:val="right"/>
        <w:rPr>
          <w:rFonts w:ascii="Trebuchet MS" w:hAnsi="Trebuchet MS" w:cs="Arial"/>
          <w:sz w:val="16"/>
        </w:rPr>
      </w:pPr>
      <w:r w:rsidRPr="003C33FB">
        <w:rPr>
          <w:rFonts w:ascii="Trebuchet MS" w:hAnsi="Trebuchet MS" w:cs="Arial"/>
          <w:sz w:val="16"/>
        </w:rPr>
        <w:t>JUAN MANUEL ALEMANY</w:t>
      </w:r>
    </w:p>
    <w:p w14:paraId="32ED1CD9" w14:textId="77777777" w:rsidR="0080395C" w:rsidRPr="005E3721" w:rsidRDefault="0080395C" w:rsidP="0080395C">
      <w:pPr>
        <w:rPr>
          <w:rFonts w:ascii="Trebuchet MS" w:hAnsi="Trebuchet MS"/>
          <w:b/>
          <w:lang w:val="de-CH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0395C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1360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2021-05-07T18:18:00Z</dcterms:created>
  <dcterms:modified xsi:type="dcterms:W3CDTF">2021-05-07T18:18:00Z</dcterms:modified>
</cp:coreProperties>
</file>