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672C96" w14:textId="77777777" w:rsidR="00691A23" w:rsidRDefault="00691A23" w:rsidP="00691A23">
      <w:pPr>
        <w:widowControl w:val="0"/>
        <w:autoSpaceDE w:val="0"/>
        <w:autoSpaceDN w:val="0"/>
        <w:adjustRightInd w:val="0"/>
        <w:spacing w:before="9" w:after="0" w:line="240" w:lineRule="auto"/>
        <w:ind w:right="-1"/>
        <w:rPr>
          <w:rFonts w:ascii="Times New Roman" w:hAnsi="Times New Roman" w:cs="Times New Roman"/>
          <w:sz w:val="21"/>
          <w:szCs w:val="21"/>
          <w:lang w:val="es-ES"/>
        </w:rPr>
      </w:pPr>
    </w:p>
    <w:p w14:paraId="5C2642C5" w14:textId="77777777" w:rsidR="00691A23" w:rsidRDefault="00691A23" w:rsidP="00691A23">
      <w:pPr>
        <w:widowControl w:val="0"/>
        <w:autoSpaceDE w:val="0"/>
        <w:autoSpaceDN w:val="0"/>
        <w:adjustRightInd w:val="0"/>
        <w:spacing w:after="0" w:line="20" w:lineRule="exact"/>
        <w:ind w:right="-1"/>
        <w:rPr>
          <w:rFonts w:ascii="Times New Roman" w:hAnsi="Times New Roman" w:cs="Times New Roman"/>
          <w:sz w:val="2"/>
          <w:szCs w:val="2"/>
          <w:lang w:val="es-ES"/>
        </w:rPr>
      </w:pPr>
    </w:p>
    <w:p w14:paraId="42DC55F5"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19DA8268"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sz w:val="27"/>
          <w:szCs w:val="27"/>
          <w:lang w:val="es-ES"/>
        </w:rPr>
      </w:pPr>
    </w:p>
    <w:p w14:paraId="4E8D6711" w14:textId="77777777" w:rsidR="00691A23" w:rsidRDefault="00691A23" w:rsidP="00691A23">
      <w:pPr>
        <w:widowControl w:val="0"/>
        <w:autoSpaceDE w:val="0"/>
        <w:autoSpaceDN w:val="0"/>
        <w:adjustRightInd w:val="0"/>
        <w:spacing w:before="101" w:after="0" w:line="32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HOMOLOGACIÓN DEL ACUERDO SALARIAL CELEBRADO EN EL </w:t>
      </w:r>
    </w:p>
    <w:p w14:paraId="6EC9808F" w14:textId="21B7DA15" w:rsidR="00691A23" w:rsidRDefault="00691A23" w:rsidP="00691A23">
      <w:pPr>
        <w:widowControl w:val="0"/>
        <w:autoSpaceDE w:val="0"/>
        <w:autoSpaceDN w:val="0"/>
        <w:adjustRightInd w:val="0"/>
        <w:spacing w:before="101" w:after="0" w:line="328"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MARCO DEL CONVENIO COLECTIVO DE TRABAJO 88/1990.</w:t>
      </w:r>
    </w:p>
    <w:p w14:paraId="4355D14E" w14:textId="77777777" w:rsidR="00691A23" w:rsidRDefault="00691A23" w:rsidP="00691A23">
      <w:pPr>
        <w:widowControl w:val="0"/>
        <w:autoSpaceDE w:val="0"/>
        <w:autoSpaceDN w:val="0"/>
        <w:adjustRightInd w:val="0"/>
        <w:spacing w:before="3" w:after="0" w:line="240"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INCREMENTO SALARIAL CON V</w:t>
      </w:r>
      <w:bookmarkStart w:id="0" w:name="_GoBack"/>
      <w:bookmarkEnd w:id="0"/>
      <w:r>
        <w:rPr>
          <w:rFonts w:ascii="Trebuchet MS" w:hAnsi="Trebuchet MS" w:cs="Trebuchet MS"/>
          <w:b/>
          <w:bCs/>
          <w:sz w:val="20"/>
          <w:szCs w:val="20"/>
          <w:lang w:val="es-ES"/>
        </w:rPr>
        <w:t>IGENCIA A PARTIR DE JULIO DE 2014.</w:t>
      </w:r>
    </w:p>
    <w:p w14:paraId="4E4B71C8" w14:textId="77777777" w:rsidR="00691A23" w:rsidRDefault="00691A23" w:rsidP="00691A23">
      <w:pPr>
        <w:widowControl w:val="0"/>
        <w:autoSpaceDE w:val="0"/>
        <w:autoSpaceDN w:val="0"/>
        <w:adjustRightInd w:val="0"/>
        <w:spacing w:before="9" w:after="0" w:line="240" w:lineRule="auto"/>
        <w:ind w:right="-1"/>
        <w:rPr>
          <w:rFonts w:ascii="Times New Roman" w:hAnsi="Times New Roman" w:cs="Times New Roman"/>
          <w:b/>
          <w:bCs/>
          <w:sz w:val="20"/>
          <w:szCs w:val="20"/>
          <w:lang w:val="es-ES"/>
        </w:rPr>
      </w:pPr>
    </w:p>
    <w:p w14:paraId="03D2D0A3" w14:textId="77777777" w:rsidR="00691A23" w:rsidRDefault="00691A23" w:rsidP="00691A23">
      <w:pPr>
        <w:widowControl w:val="0"/>
        <w:autoSpaceDE w:val="0"/>
        <w:autoSpaceDN w:val="0"/>
        <w:adjustRightInd w:val="0"/>
        <w:spacing w:before="1" w:after="0" w:line="43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 xml:space="preserve">SECRETARIA DE TRABAJO </w:t>
      </w:r>
    </w:p>
    <w:p w14:paraId="3F58D455" w14:textId="499AB137" w:rsidR="00691A23" w:rsidRDefault="00691A23" w:rsidP="00691A23">
      <w:pPr>
        <w:widowControl w:val="0"/>
        <w:autoSpaceDE w:val="0"/>
        <w:autoSpaceDN w:val="0"/>
        <w:adjustRightInd w:val="0"/>
        <w:spacing w:before="1" w:after="0" w:line="432" w:lineRule="auto"/>
        <w:ind w:right="-1"/>
        <w:jc w:val="center"/>
        <w:rPr>
          <w:rFonts w:ascii="Trebuchet MS" w:hAnsi="Trebuchet MS" w:cs="Trebuchet MS"/>
          <w:b/>
          <w:bCs/>
          <w:sz w:val="20"/>
          <w:szCs w:val="20"/>
          <w:lang w:val="es-ES"/>
        </w:rPr>
      </w:pPr>
      <w:r>
        <w:rPr>
          <w:rFonts w:ascii="Trebuchet MS" w:hAnsi="Trebuchet MS" w:cs="Trebuchet MS"/>
          <w:b/>
          <w:bCs/>
          <w:sz w:val="20"/>
          <w:szCs w:val="20"/>
          <w:lang w:val="es-ES"/>
        </w:rPr>
        <w:t>RESOLUCIÓN N° 1140 / 2014</w:t>
      </w:r>
    </w:p>
    <w:p w14:paraId="4DD69014"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b/>
          <w:bCs/>
          <w:sz w:val="23"/>
          <w:szCs w:val="23"/>
          <w:lang w:val="es-ES"/>
        </w:rPr>
      </w:pPr>
    </w:p>
    <w:p w14:paraId="3B6228E1"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VISTO:</w:t>
      </w:r>
    </w:p>
    <w:p w14:paraId="3FC722DE"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55918466"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sz w:val="20"/>
          <w:szCs w:val="20"/>
          <w:lang w:val="es-ES"/>
        </w:rPr>
      </w:pPr>
      <w:r>
        <w:rPr>
          <w:rFonts w:ascii="Trebuchet MS" w:hAnsi="Trebuchet MS" w:cs="Trebuchet MS"/>
          <w:sz w:val="20"/>
          <w:szCs w:val="20"/>
          <w:lang w:val="es-ES"/>
        </w:rPr>
        <w:t>El expediente 1.619.070/14 del registro del Ministerio de Trabajo, Empleo y Seguridad Social, la ley 14250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2004) y la ley 20744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 1976) y,</w:t>
      </w:r>
    </w:p>
    <w:p w14:paraId="4A913085" w14:textId="77777777" w:rsidR="00691A23" w:rsidRDefault="00691A23" w:rsidP="00691A23">
      <w:pPr>
        <w:widowControl w:val="0"/>
        <w:autoSpaceDE w:val="0"/>
        <w:autoSpaceDN w:val="0"/>
        <w:adjustRightInd w:val="0"/>
        <w:spacing w:before="1" w:after="0" w:line="240" w:lineRule="auto"/>
        <w:ind w:right="-1"/>
        <w:rPr>
          <w:rFonts w:ascii="Times New Roman" w:hAnsi="Times New Roman" w:cs="Times New Roman"/>
          <w:sz w:val="20"/>
          <w:szCs w:val="20"/>
          <w:lang w:val="es-ES"/>
        </w:rPr>
      </w:pPr>
    </w:p>
    <w:p w14:paraId="3EFF34A2"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sz w:val="20"/>
          <w:szCs w:val="20"/>
          <w:lang w:val="es-ES"/>
        </w:rPr>
      </w:pPr>
      <w:r>
        <w:rPr>
          <w:rFonts w:ascii="Trebuchet MS" w:hAnsi="Trebuchet MS" w:cs="Trebuchet MS"/>
          <w:b/>
          <w:bCs/>
          <w:sz w:val="20"/>
          <w:szCs w:val="20"/>
          <w:lang w:val="es-ES"/>
        </w:rPr>
        <w:t>CONSIDERANDO:</w:t>
      </w:r>
    </w:p>
    <w:p w14:paraId="5F930E48"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b/>
          <w:bCs/>
          <w:sz w:val="20"/>
          <w:szCs w:val="20"/>
          <w:lang w:val="es-ES"/>
        </w:rPr>
      </w:pPr>
    </w:p>
    <w:p w14:paraId="02FDDADB"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sz w:val="20"/>
          <w:szCs w:val="20"/>
          <w:lang w:val="es-ES"/>
        </w:rPr>
      </w:pPr>
    </w:p>
    <w:p w14:paraId="5FC1B502"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sz w:val="20"/>
          <w:szCs w:val="20"/>
          <w:lang w:val="es-ES"/>
        </w:rPr>
        <w:t>Que a fojas 64/65 del expediente 1.619.070/14, obra el Acuerdo celebrado entre el Sindicato Argentino de Empleados y Obreros de la Enseñanza Privada por la parte sindical; la Asociación de Institutos de Enseñanza Privada (ADIDEP) y el Consejo Superior de Educación Católica, por la parte empleadora, conforme lo dispuesto en la ley 14250 de negociación colectiva (</w:t>
      </w:r>
      <w:proofErr w:type="spellStart"/>
      <w:r>
        <w:rPr>
          <w:rFonts w:ascii="Trebuchet MS" w:hAnsi="Trebuchet MS" w:cs="Trebuchet MS"/>
          <w:sz w:val="20"/>
          <w:szCs w:val="20"/>
          <w:lang w:val="es-ES"/>
        </w:rPr>
        <w:t>t.o</w:t>
      </w:r>
      <w:proofErr w:type="spellEnd"/>
      <w:r>
        <w:rPr>
          <w:rFonts w:ascii="Trebuchet MS" w:hAnsi="Trebuchet MS" w:cs="Trebuchet MS"/>
          <w:sz w:val="20"/>
          <w:szCs w:val="20"/>
          <w:lang w:val="es-ES"/>
        </w:rPr>
        <w:t>.</w:t>
      </w:r>
      <w:r>
        <w:rPr>
          <w:rFonts w:ascii="Trebuchet MS" w:hAnsi="Trebuchet MS" w:cs="Trebuchet MS"/>
          <w:spacing w:val="-14"/>
          <w:kern w:val="1"/>
          <w:sz w:val="20"/>
          <w:szCs w:val="20"/>
          <w:lang w:val="es-ES"/>
        </w:rPr>
        <w:t xml:space="preserve"> </w:t>
      </w:r>
      <w:r>
        <w:rPr>
          <w:rFonts w:ascii="Trebuchet MS" w:hAnsi="Trebuchet MS" w:cs="Trebuchet MS"/>
          <w:kern w:val="1"/>
          <w:sz w:val="20"/>
          <w:szCs w:val="20"/>
          <w:lang w:val="es-ES"/>
        </w:rPr>
        <w:t>2004).</w:t>
      </w:r>
    </w:p>
    <w:p w14:paraId="254A0970" w14:textId="77777777" w:rsidR="00691A23" w:rsidRDefault="00691A23" w:rsidP="00691A23">
      <w:pPr>
        <w:widowControl w:val="0"/>
        <w:autoSpaceDE w:val="0"/>
        <w:autoSpaceDN w:val="0"/>
        <w:adjustRightInd w:val="0"/>
        <w:spacing w:before="10" w:after="0" w:line="240" w:lineRule="auto"/>
        <w:ind w:right="-1"/>
        <w:rPr>
          <w:rFonts w:ascii="Times New Roman" w:hAnsi="Times New Roman" w:cs="Times New Roman"/>
          <w:kern w:val="1"/>
          <w:sz w:val="19"/>
          <w:szCs w:val="19"/>
          <w:lang w:val="es-ES"/>
        </w:rPr>
      </w:pPr>
    </w:p>
    <w:p w14:paraId="2458D3E6" w14:textId="77777777" w:rsidR="00691A23" w:rsidRDefault="00691A23" w:rsidP="00691A2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bajo dicho Acuerdo las precitadas partes pactaron condiciones salariales, conforme surge de los términos y contenido del texto, en el marco del convenio colectivo 88/1990.</w:t>
      </w:r>
    </w:p>
    <w:p w14:paraId="7EC5D998"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0739A185"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respecto al aporte solidario a cargo de todos los trabajadores, previsto en la cláusula tercera del Acuerdo de marras, y sin perjuicio de la homologación que por el presente se dispone, corresponde dejar expresamente establecido que dicho aporte compensará hasta su concurrencia el valor que los trabajadores afiliados a la asociación sindical deban abonar en concepto de cuota</w:t>
      </w:r>
      <w:r>
        <w:rPr>
          <w:rFonts w:ascii="Trebuchet MS" w:hAnsi="Trebuchet MS" w:cs="Trebuchet MS"/>
          <w:spacing w:val="-18"/>
          <w:kern w:val="1"/>
          <w:sz w:val="20"/>
          <w:szCs w:val="20"/>
          <w:lang w:val="es-ES"/>
        </w:rPr>
        <w:t xml:space="preserve"> </w:t>
      </w:r>
      <w:r>
        <w:rPr>
          <w:rFonts w:ascii="Trebuchet MS" w:hAnsi="Trebuchet MS" w:cs="Trebuchet MS"/>
          <w:kern w:val="1"/>
          <w:sz w:val="20"/>
          <w:szCs w:val="20"/>
          <w:lang w:val="es-ES"/>
        </w:rPr>
        <w:t>sindical.</w:t>
      </w:r>
    </w:p>
    <w:p w14:paraId="48F62430"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25D71A1C"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asimismo, en relación con lo previsto en la parte final de la cláusula citada, corresponde señalar que la vigencia del aporte solidario se extiende como máximo hasta la fecha de vigencia del Acuerdo que, por la presente se homologa.</w:t>
      </w:r>
    </w:p>
    <w:p w14:paraId="48116163"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DD1FC2A"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el ámbito de aplicación del presente Acuerdo, se corresponde con la aptitud representativa de las entidades empresarias signatarias y de la organización sindical firmante, emergente de su personería gremial.</w:t>
      </w:r>
    </w:p>
    <w:p w14:paraId="5BC3B1FF"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D905C33" w14:textId="77777777" w:rsidR="00691A23" w:rsidRDefault="00691A23" w:rsidP="00691A23">
      <w:pPr>
        <w:widowControl w:val="0"/>
        <w:autoSpaceDE w:val="0"/>
        <w:autoSpaceDN w:val="0"/>
        <w:adjustRightInd w:val="0"/>
        <w:spacing w:after="0" w:line="48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las partes ratificaron en todos sus términos el mentado Acuerdo y solicitaron su homologación. Que asimismo, se acreditan los recaudos formales exigidos por la ley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262E0531" w14:textId="77777777" w:rsidR="00691A23" w:rsidRDefault="00691A23" w:rsidP="00691A2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la Asesoría Legal de la Dirección Nacional de Relaciones del Trabajo de este Ministerio, tomó la intervención que le compete.</w:t>
      </w:r>
    </w:p>
    <w:p w14:paraId="4E89FB99" w14:textId="77777777" w:rsidR="00691A23" w:rsidRDefault="00691A23" w:rsidP="00691A23">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1E85EB69" w14:textId="77777777" w:rsidR="00691A23" w:rsidRDefault="00691A23" w:rsidP="00691A2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Que por lo expuesto, corresponde dictar el pertinente acto administrativo de homologación, con los alcances que se precisan en los considerandos, tercero y cuarto de la presente medida.</w:t>
      </w:r>
    </w:p>
    <w:p w14:paraId="12A4D1EC"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5815F5BE"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Que una vez dictado el presente acto administrativo homologando el Acuerdo alcanzado, se remitirán las presentes actuaciones a la Dirección Nacional de Regulaciones del Trabajo, a fin de evaluar la procedencia de fijar el promedio de las remuneraciones, del cual surge el tope indemnizatorio establecido en el artículo 245 de la ley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w:t>
      </w:r>
    </w:p>
    <w:p w14:paraId="5D815DE7"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6FC45A1" w14:textId="77777777" w:rsidR="00691A23" w:rsidRDefault="00691A23" w:rsidP="00691A23">
      <w:pPr>
        <w:widowControl w:val="0"/>
        <w:autoSpaceDE w:val="0"/>
        <w:autoSpaceDN w:val="0"/>
        <w:adjustRightInd w:val="0"/>
        <w:spacing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lastRenderedPageBreak/>
        <w:t>Que las facultades de la suscripta para resolver en las presentes actuaciones, surgen de las atribuciones otorgadas por el artículo 10 del decreto 200/1988 y sus modificatorios.</w:t>
      </w:r>
    </w:p>
    <w:p w14:paraId="5707FBBE" w14:textId="77777777" w:rsidR="00691A23" w:rsidRDefault="00691A23" w:rsidP="00691A23">
      <w:pPr>
        <w:widowControl w:val="0"/>
        <w:autoSpaceDE w:val="0"/>
        <w:autoSpaceDN w:val="0"/>
        <w:adjustRightInd w:val="0"/>
        <w:spacing w:before="90" w:after="0" w:line="240" w:lineRule="auto"/>
        <w:ind w:right="-1"/>
        <w:rPr>
          <w:rFonts w:ascii="Trebuchet MS" w:hAnsi="Trebuchet MS" w:cs="Trebuchet MS"/>
          <w:kern w:val="1"/>
          <w:sz w:val="20"/>
          <w:szCs w:val="20"/>
          <w:lang w:val="es-ES"/>
        </w:rPr>
      </w:pPr>
      <w:r>
        <w:rPr>
          <w:rFonts w:ascii="Trebuchet MS" w:hAnsi="Trebuchet MS" w:cs="Trebuchet MS"/>
          <w:kern w:val="1"/>
          <w:sz w:val="20"/>
          <w:szCs w:val="20"/>
          <w:lang w:val="es-ES"/>
        </w:rPr>
        <w:t>Por ello,</w:t>
      </w:r>
    </w:p>
    <w:p w14:paraId="68518216"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19F86C92" w14:textId="77777777" w:rsidR="00691A23" w:rsidRDefault="00691A23" w:rsidP="00691A23">
      <w:pPr>
        <w:widowControl w:val="0"/>
        <w:autoSpaceDE w:val="0"/>
        <w:autoSpaceDN w:val="0"/>
        <w:adjustRightInd w:val="0"/>
        <w:spacing w:after="0" w:line="240" w:lineRule="auto"/>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LA SECRETARIA DE TRABAJO RESUELVE:</w:t>
      </w:r>
    </w:p>
    <w:p w14:paraId="6A69EA10" w14:textId="77777777" w:rsidR="00691A23" w:rsidRDefault="00691A23" w:rsidP="00691A23">
      <w:pPr>
        <w:widowControl w:val="0"/>
        <w:autoSpaceDE w:val="0"/>
        <w:autoSpaceDN w:val="0"/>
        <w:adjustRightInd w:val="0"/>
        <w:spacing w:before="4" w:after="0" w:line="240" w:lineRule="auto"/>
        <w:ind w:right="-1"/>
        <w:rPr>
          <w:rFonts w:ascii="Times New Roman" w:hAnsi="Times New Roman" w:cs="Times New Roman"/>
          <w:b/>
          <w:bCs/>
          <w:kern w:val="1"/>
          <w:sz w:val="11"/>
          <w:szCs w:val="11"/>
          <w:lang w:val="es-ES"/>
        </w:rPr>
      </w:pPr>
    </w:p>
    <w:p w14:paraId="7C455D86" w14:textId="77777777" w:rsidR="00691A23" w:rsidRDefault="00691A23" w:rsidP="00691A23">
      <w:pPr>
        <w:widowControl w:val="0"/>
        <w:autoSpaceDE w:val="0"/>
        <w:autoSpaceDN w:val="0"/>
        <w:adjustRightInd w:val="0"/>
        <w:spacing w:before="10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Artículo 1 - Declárase homologado el Acuerdo celebrado entre el Sindicato Argentino de Empleados y Obreros de la Enseñanza Privada por la parte sindical; la Asociación de Institutos de </w:t>
      </w:r>
      <w:proofErr w:type="spellStart"/>
      <w:r>
        <w:rPr>
          <w:rFonts w:ascii="Trebuchet MS" w:hAnsi="Trebuchet MS" w:cs="Trebuchet MS"/>
          <w:kern w:val="1"/>
          <w:sz w:val="20"/>
          <w:szCs w:val="20"/>
          <w:lang w:val="es-ES"/>
        </w:rPr>
        <w:t>EnseñanzaPrivada</w:t>
      </w:r>
      <w:proofErr w:type="spellEnd"/>
      <w:r>
        <w:rPr>
          <w:rFonts w:ascii="Trebuchet MS" w:hAnsi="Trebuchet MS" w:cs="Trebuchet MS"/>
          <w:kern w:val="1"/>
          <w:sz w:val="20"/>
          <w:szCs w:val="20"/>
          <w:lang w:val="es-ES"/>
        </w:rPr>
        <w:t xml:space="preserve"> (ADIDEP) y el Consejo Superior de Educación Católica, por la parte empleadora obrante a fojas 64/65 del expediente 1.619.070/14, conforme lo dispuesto en la ley 14250 de </w:t>
      </w:r>
      <w:proofErr w:type="spellStart"/>
      <w:r>
        <w:rPr>
          <w:rFonts w:ascii="Trebuchet MS" w:hAnsi="Trebuchet MS" w:cs="Trebuchet MS"/>
          <w:kern w:val="1"/>
          <w:sz w:val="20"/>
          <w:szCs w:val="20"/>
          <w:lang w:val="es-ES"/>
        </w:rPr>
        <w:t>negociacióncolectiva</w:t>
      </w:r>
      <w:proofErr w:type="spellEnd"/>
      <w:r>
        <w:rPr>
          <w:rFonts w:ascii="Trebuchet MS" w:hAnsi="Trebuchet MS" w:cs="Trebuchet MS"/>
          <w:kern w:val="1"/>
          <w:sz w:val="20"/>
          <w:szCs w:val="20"/>
          <w:lang w:val="es-ES"/>
        </w:rPr>
        <w:t xml:space="preserve">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0C21C53C"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698437A"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2 - Regístrese la presente resolución por la Dirección General de Registro, Gestión y Archivo Documental dependiente de la Subsecretaría de Coordinación. Cumplido, pase a la Dirección de Negociación Colectiva, a fin de que el Departamento Coordinación registre el presente Acuerdo, obrante a fojas 64/65 del expediente 1.619.070/14.</w:t>
      </w:r>
    </w:p>
    <w:p w14:paraId="1A614709"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0EEE216"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3 - Notifíquese a las partes signatarias. Posteriormente pase a la Dirección Nacional de Regulaciones del Trabajo a fin de evaluar la procedencia de fijar el promedio de las remuneraciones, del cual surge el tope indemnizatorio, de acuerdo a lo establecido en el artículo 245 de la ley 20744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1976) y sus modificatorias. Finalmente procédase a la guarda del presente legajo conjuntamente con el convenio colectivo de trabajo</w:t>
      </w:r>
      <w:r>
        <w:rPr>
          <w:rFonts w:ascii="Trebuchet MS" w:hAnsi="Trebuchet MS" w:cs="Trebuchet MS"/>
          <w:spacing w:val="-4"/>
          <w:kern w:val="1"/>
          <w:sz w:val="20"/>
          <w:szCs w:val="20"/>
          <w:lang w:val="es-ES"/>
        </w:rPr>
        <w:t xml:space="preserve"> </w:t>
      </w:r>
      <w:r>
        <w:rPr>
          <w:rFonts w:ascii="Trebuchet MS" w:hAnsi="Trebuchet MS" w:cs="Trebuchet MS"/>
          <w:kern w:val="1"/>
          <w:sz w:val="20"/>
          <w:szCs w:val="20"/>
          <w:lang w:val="es-ES"/>
        </w:rPr>
        <w:t>88/1990.</w:t>
      </w:r>
    </w:p>
    <w:p w14:paraId="07643A37"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B1A09C0" w14:textId="77777777" w:rsidR="00691A23" w:rsidRDefault="00691A23" w:rsidP="00691A2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20F4E651"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E34638D"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4 - Hágase saber que en el supuesto de que este Ministerio de Trabajo, Empleo y Seguridad Social no efectúe la publicación gratuita del Acuerdo homologado, resultará aplicable lo dispuesto en el tercer párrafo del artículo 5 de la ley 14250 (</w:t>
      </w:r>
      <w:proofErr w:type="spellStart"/>
      <w:r>
        <w:rPr>
          <w:rFonts w:ascii="Trebuchet MS" w:hAnsi="Trebuchet MS" w:cs="Trebuchet MS"/>
          <w:kern w:val="1"/>
          <w:sz w:val="20"/>
          <w:szCs w:val="20"/>
          <w:lang w:val="es-ES"/>
        </w:rPr>
        <w:t>t.o</w:t>
      </w:r>
      <w:proofErr w:type="spellEnd"/>
      <w:r>
        <w:rPr>
          <w:rFonts w:ascii="Trebuchet MS" w:hAnsi="Trebuchet MS" w:cs="Trebuchet MS"/>
          <w:kern w:val="1"/>
          <w:sz w:val="20"/>
          <w:szCs w:val="20"/>
          <w:lang w:val="es-ES"/>
        </w:rPr>
        <w:t>. 2004).</w:t>
      </w:r>
    </w:p>
    <w:p w14:paraId="6ADC05EA" w14:textId="77777777" w:rsidR="00691A23" w:rsidRDefault="00691A23" w:rsidP="00691A23">
      <w:pPr>
        <w:widowControl w:val="0"/>
        <w:autoSpaceDE w:val="0"/>
        <w:autoSpaceDN w:val="0"/>
        <w:adjustRightInd w:val="0"/>
        <w:spacing w:before="5" w:after="0" w:line="460" w:lineRule="atLeast"/>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Artículo 5 - De forma. REGISTRACIÓN</w:t>
      </w:r>
    </w:p>
    <w:p w14:paraId="15DBDF37" w14:textId="77777777" w:rsidR="00691A23" w:rsidRDefault="00691A23" w:rsidP="00691A23">
      <w:pPr>
        <w:widowControl w:val="0"/>
        <w:autoSpaceDE w:val="0"/>
        <w:autoSpaceDN w:val="0"/>
        <w:adjustRightInd w:val="0"/>
        <w:spacing w:before="5"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Expediente 1.619.070/14</w:t>
      </w:r>
    </w:p>
    <w:p w14:paraId="2F0F088A" w14:textId="77777777" w:rsidR="00691A23" w:rsidRDefault="00691A23" w:rsidP="00691A23">
      <w:pPr>
        <w:widowControl w:val="0"/>
        <w:autoSpaceDE w:val="0"/>
        <w:autoSpaceDN w:val="0"/>
        <w:adjustRightInd w:val="0"/>
        <w:spacing w:before="4" w:after="0" w:line="240" w:lineRule="auto"/>
        <w:ind w:right="-1"/>
        <w:rPr>
          <w:rFonts w:ascii="Times New Roman" w:hAnsi="Times New Roman" w:cs="Times New Roman"/>
          <w:kern w:val="1"/>
          <w:sz w:val="11"/>
          <w:szCs w:val="11"/>
          <w:lang w:val="es-ES"/>
        </w:rPr>
      </w:pPr>
    </w:p>
    <w:p w14:paraId="6EC75B84" w14:textId="77777777" w:rsidR="00691A23" w:rsidRDefault="00691A23" w:rsidP="00691A23">
      <w:pPr>
        <w:widowControl w:val="0"/>
        <w:autoSpaceDE w:val="0"/>
        <w:autoSpaceDN w:val="0"/>
        <w:adjustRightInd w:val="0"/>
        <w:spacing w:before="100" w:after="0" w:line="240" w:lineRule="auto"/>
        <w:ind w:right="-1"/>
        <w:jc w:val="right"/>
        <w:rPr>
          <w:rFonts w:ascii="Trebuchet MS" w:hAnsi="Trebuchet MS" w:cs="Trebuchet MS"/>
          <w:kern w:val="1"/>
          <w:sz w:val="20"/>
          <w:szCs w:val="20"/>
          <w:lang w:val="es-ES"/>
        </w:rPr>
      </w:pPr>
      <w:r>
        <w:rPr>
          <w:rFonts w:ascii="Trebuchet MS" w:hAnsi="Trebuchet MS" w:cs="Trebuchet MS"/>
          <w:kern w:val="1"/>
          <w:sz w:val="20"/>
          <w:szCs w:val="20"/>
          <w:lang w:val="es-ES"/>
        </w:rPr>
        <w:t>Buenos Aires, 23 de julio de 2014</w:t>
      </w:r>
    </w:p>
    <w:p w14:paraId="710EB86F"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CC6604D"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 conformidad con lo ordenado en la resolución (ST) 1140/2014 se ha tomado razón del Acuerdo de fojas 64/65 del expediente de referencia, quedando registrado bajo el número 974/2014.</w:t>
      </w:r>
    </w:p>
    <w:p w14:paraId="41694C0E"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7F978601" w14:textId="1F6D5937" w:rsidR="00691A23" w:rsidRDefault="00691A23" w:rsidP="00691A23">
      <w:pPr>
        <w:widowControl w:val="0"/>
        <w:autoSpaceDE w:val="0"/>
        <w:autoSpaceDN w:val="0"/>
        <w:adjustRightInd w:val="0"/>
        <w:spacing w:before="1"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ACUERDO SALARIAL</w:t>
      </w:r>
    </w:p>
    <w:p w14:paraId="72FCDB28" w14:textId="77777777" w:rsidR="00691A23" w:rsidRDefault="00691A23" w:rsidP="00691A23">
      <w:pPr>
        <w:widowControl w:val="0"/>
        <w:autoSpaceDE w:val="0"/>
        <w:autoSpaceDN w:val="0"/>
        <w:adjustRightInd w:val="0"/>
        <w:spacing w:after="0" w:line="232"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ESTABLECE NUEVAS CONDICIONES SALARIALES</w:t>
      </w:r>
    </w:p>
    <w:p w14:paraId="6970850A"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b/>
          <w:bCs/>
          <w:kern w:val="1"/>
          <w:sz w:val="19"/>
          <w:szCs w:val="19"/>
          <w:lang w:val="es-ES"/>
        </w:rPr>
      </w:pPr>
    </w:p>
    <w:p w14:paraId="1CACC60C"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En la Ciudad Autónoma de Buenos Aires a los seis días del mes de mayo de dos mil catorce, el doctor Guillermo Marconi, Secretario General, por el Sindicato Argentino de Empleados y Obreros de la Enseñanza Privada (SAEOEP), por una parte y por la otra lo hace el doctor Álvaro Eduardo Joaquín Francisco Pérez de Castro por la Asociación de Institutos de Enseñanza Privada - ADIDEP -, el doctor Julio César Ramos, por el Consejo Superior de Educación Católica (CONSUDEC); que en el marco del CCT 88/1990 acuerdan:</w:t>
      </w:r>
    </w:p>
    <w:p w14:paraId="2B36860A" w14:textId="77777777" w:rsidR="00691A23" w:rsidRDefault="00691A23" w:rsidP="00691A23">
      <w:pPr>
        <w:widowControl w:val="0"/>
        <w:autoSpaceDE w:val="0"/>
        <w:autoSpaceDN w:val="0"/>
        <w:adjustRightInd w:val="0"/>
        <w:spacing w:before="1"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Primero: Que los salarios básicos vigentes del CCT 88/1990 a partir del mes de julio de 2014 serán los que a continuación se detallan:</w:t>
      </w:r>
    </w:p>
    <w:p w14:paraId="65C0F2A4" w14:textId="77777777" w:rsidR="00691A23" w:rsidRDefault="00691A23" w:rsidP="00691A23">
      <w:pPr>
        <w:widowControl w:val="0"/>
        <w:autoSpaceDE w:val="0"/>
        <w:autoSpaceDN w:val="0"/>
        <w:adjustRightInd w:val="0"/>
        <w:spacing w:before="9" w:after="0" w:line="240" w:lineRule="auto"/>
        <w:ind w:right="-1"/>
        <w:rPr>
          <w:rFonts w:ascii="Times New Roman" w:hAnsi="Times New Roman" w:cs="Times New Roman"/>
          <w:kern w:val="1"/>
          <w:sz w:val="20"/>
          <w:szCs w:val="20"/>
          <w:lang w:val="es-ES"/>
        </w:rPr>
      </w:pPr>
    </w:p>
    <w:tbl>
      <w:tblPr>
        <w:tblW w:w="10011" w:type="dxa"/>
        <w:jc w:val="center"/>
        <w:tblBorders>
          <w:top w:val="single" w:sz="12" w:space="0" w:color="auto"/>
          <w:left w:val="single" w:sz="12" w:space="0" w:color="auto"/>
          <w:right w:val="single" w:sz="12" w:space="0" w:color="auto"/>
        </w:tblBorders>
        <w:tblLayout w:type="fixed"/>
        <w:tblLook w:val="0000" w:firstRow="0" w:lastRow="0" w:firstColumn="0" w:lastColumn="0" w:noHBand="0" w:noVBand="0"/>
      </w:tblPr>
      <w:tblGrid>
        <w:gridCol w:w="1668"/>
        <w:gridCol w:w="1538"/>
        <w:gridCol w:w="1559"/>
        <w:gridCol w:w="1560"/>
        <w:gridCol w:w="1559"/>
        <w:gridCol w:w="2127"/>
      </w:tblGrid>
      <w:tr w:rsidR="00691A23" w14:paraId="6526F91D" w14:textId="77777777" w:rsidTr="00691A23">
        <w:tblPrEx>
          <w:tblCellMar>
            <w:top w:w="0" w:type="dxa"/>
            <w:bottom w:w="0" w:type="dxa"/>
          </w:tblCellMar>
        </w:tblPrEx>
        <w:trPr>
          <w:jc w:val="center"/>
        </w:trPr>
        <w:tc>
          <w:tcPr>
            <w:tcW w:w="1668" w:type="dxa"/>
            <w:tcBorders>
              <w:top w:val="single" w:sz="12" w:space="0" w:color="auto"/>
              <w:bottom w:val="single" w:sz="12" w:space="0" w:color="auto"/>
              <w:right w:val="single" w:sz="12" w:space="0" w:color="auto"/>
            </w:tcBorders>
            <w:shd w:val="clear" w:color="auto" w:fill="E0E0E0"/>
            <w:tcMar>
              <w:top w:w="100" w:type="nil"/>
              <w:right w:w="100" w:type="nil"/>
            </w:tcMar>
          </w:tcPr>
          <w:p w14:paraId="36296295" w14:textId="77777777" w:rsidR="00691A23" w:rsidRDefault="00691A23" w:rsidP="00691A23">
            <w:pPr>
              <w:widowControl w:val="0"/>
              <w:autoSpaceDE w:val="0"/>
              <w:autoSpaceDN w:val="0"/>
              <w:adjustRightInd w:val="0"/>
              <w:spacing w:after="0" w:line="213" w:lineRule="exact"/>
              <w:ind w:right="-1"/>
              <w:jc w:val="center"/>
              <w:rPr>
                <w:rFonts w:ascii="Trebuchet MS" w:hAnsi="Trebuchet MS" w:cs="Trebuchet MS"/>
                <w:b/>
                <w:bCs/>
                <w:kern w:val="1"/>
                <w:sz w:val="20"/>
                <w:szCs w:val="20"/>
                <w:lang w:val="es-ES"/>
              </w:rPr>
            </w:pPr>
            <w:r>
              <w:rPr>
                <w:rFonts w:ascii="Trebuchet MS" w:hAnsi="Trebuchet MS" w:cs="Trebuchet MS"/>
                <w:b/>
                <w:bCs/>
                <w:kern w:val="1"/>
                <w:sz w:val="20"/>
                <w:szCs w:val="20"/>
                <w:lang w:val="es-ES"/>
              </w:rPr>
              <w:t>Julio 2014</w:t>
            </w:r>
          </w:p>
        </w:tc>
        <w:tc>
          <w:tcPr>
            <w:tcW w:w="1538" w:type="dxa"/>
            <w:tcBorders>
              <w:top w:val="single" w:sz="12" w:space="0" w:color="auto"/>
              <w:left w:val="single" w:sz="12" w:space="0" w:color="auto"/>
              <w:bottom w:val="single" w:sz="12" w:space="0" w:color="auto"/>
              <w:right w:val="single" w:sz="12" w:space="0" w:color="auto"/>
            </w:tcBorders>
            <w:shd w:val="clear" w:color="auto" w:fill="E0E0E0"/>
            <w:tcMar>
              <w:top w:w="100" w:type="nil"/>
              <w:right w:w="100" w:type="nil"/>
            </w:tcMar>
          </w:tcPr>
          <w:p w14:paraId="6CB7C245"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c>
          <w:tcPr>
            <w:tcW w:w="1559" w:type="dxa"/>
            <w:tcBorders>
              <w:top w:val="single" w:sz="12" w:space="0" w:color="auto"/>
              <w:left w:val="single" w:sz="12" w:space="0" w:color="auto"/>
              <w:bottom w:val="single" w:sz="12" w:space="0" w:color="auto"/>
              <w:right w:val="single" w:sz="12" w:space="0" w:color="auto"/>
            </w:tcBorders>
            <w:shd w:val="clear" w:color="auto" w:fill="E0E0E0"/>
            <w:tcMar>
              <w:top w:w="100" w:type="nil"/>
              <w:right w:w="100" w:type="nil"/>
            </w:tcMar>
          </w:tcPr>
          <w:p w14:paraId="60A4D098"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c>
          <w:tcPr>
            <w:tcW w:w="1560" w:type="dxa"/>
            <w:tcBorders>
              <w:top w:val="single" w:sz="12" w:space="0" w:color="auto"/>
              <w:left w:val="single" w:sz="12" w:space="0" w:color="auto"/>
              <w:bottom w:val="single" w:sz="12" w:space="0" w:color="auto"/>
              <w:right w:val="single" w:sz="12" w:space="0" w:color="auto"/>
            </w:tcBorders>
            <w:shd w:val="clear" w:color="auto" w:fill="E0E0E0"/>
            <w:tcMar>
              <w:top w:w="100" w:type="nil"/>
              <w:right w:w="100" w:type="nil"/>
            </w:tcMar>
          </w:tcPr>
          <w:p w14:paraId="2DE3370E"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c>
          <w:tcPr>
            <w:tcW w:w="1559" w:type="dxa"/>
            <w:tcBorders>
              <w:top w:val="single" w:sz="12" w:space="0" w:color="auto"/>
              <w:left w:val="single" w:sz="12" w:space="0" w:color="auto"/>
              <w:bottom w:val="single" w:sz="12" w:space="0" w:color="auto"/>
              <w:right w:val="single" w:sz="12" w:space="0" w:color="auto"/>
            </w:tcBorders>
            <w:shd w:val="clear" w:color="auto" w:fill="E0E0E0"/>
            <w:tcMar>
              <w:top w:w="100" w:type="nil"/>
              <w:right w:w="100" w:type="nil"/>
            </w:tcMar>
          </w:tcPr>
          <w:p w14:paraId="00C3D3C7"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c>
          <w:tcPr>
            <w:tcW w:w="2127" w:type="dxa"/>
            <w:tcBorders>
              <w:top w:val="single" w:sz="12" w:space="0" w:color="auto"/>
              <w:left w:val="single" w:sz="12" w:space="0" w:color="auto"/>
              <w:bottom w:val="single" w:sz="12" w:space="0" w:color="auto"/>
            </w:tcBorders>
            <w:shd w:val="clear" w:color="auto" w:fill="E0E0E0"/>
            <w:tcMar>
              <w:top w:w="100" w:type="nil"/>
              <w:right w:w="100" w:type="nil"/>
            </w:tcMar>
          </w:tcPr>
          <w:p w14:paraId="73A03BE7" w14:textId="77777777" w:rsidR="00691A23" w:rsidRDefault="00691A23" w:rsidP="00691A23">
            <w:pPr>
              <w:widowControl w:val="0"/>
              <w:autoSpaceDE w:val="0"/>
              <w:autoSpaceDN w:val="0"/>
              <w:adjustRightInd w:val="0"/>
              <w:spacing w:after="0" w:line="240" w:lineRule="auto"/>
              <w:ind w:right="-1"/>
              <w:rPr>
                <w:rFonts w:ascii="Trebuchet MS" w:hAnsi="Trebuchet MS" w:cs="Trebuchet MS"/>
                <w:b/>
                <w:bCs/>
                <w:kern w:val="1"/>
                <w:sz w:val="20"/>
                <w:szCs w:val="20"/>
                <w:lang w:val="es-ES"/>
              </w:rPr>
            </w:pPr>
          </w:p>
        </w:tc>
      </w:tr>
      <w:tr w:rsidR="00691A23" w14:paraId="6C65C982" w14:textId="77777777" w:rsidTr="00691A23">
        <w:tblPrEx>
          <w:tblBorders>
            <w:top w:val="none" w:sz="0" w:space="0" w:color="auto"/>
          </w:tblBorders>
          <w:tblCellMar>
            <w:top w:w="0" w:type="dxa"/>
            <w:bottom w:w="0" w:type="dxa"/>
          </w:tblCellMar>
        </w:tblPrEx>
        <w:trPr>
          <w:jc w:val="center"/>
        </w:trPr>
        <w:tc>
          <w:tcPr>
            <w:tcW w:w="1668"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232FBE01"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16"/>
                <w:szCs w:val="16"/>
                <w:lang w:val="es-ES"/>
              </w:rPr>
            </w:pPr>
          </w:p>
        </w:tc>
        <w:tc>
          <w:tcPr>
            <w:tcW w:w="1538"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7998F87D" w14:textId="77777777" w:rsidR="00691A23" w:rsidRDefault="00691A23" w:rsidP="00691A23">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1° categoría</w:t>
            </w:r>
          </w:p>
        </w:tc>
        <w:tc>
          <w:tcPr>
            <w:tcW w:w="155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7C81C23A" w14:textId="77777777" w:rsidR="00691A23" w:rsidRDefault="00691A23" w:rsidP="00691A23">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2º categoría</w:t>
            </w:r>
          </w:p>
        </w:tc>
        <w:tc>
          <w:tcPr>
            <w:tcW w:w="1560"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19051DCA" w14:textId="77777777" w:rsidR="00691A23" w:rsidRDefault="00691A23" w:rsidP="00691A23">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3º categoría</w:t>
            </w:r>
          </w:p>
        </w:tc>
        <w:tc>
          <w:tcPr>
            <w:tcW w:w="1559"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74548574" w14:textId="77777777" w:rsidR="00691A23" w:rsidRDefault="00691A23" w:rsidP="00691A23">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4º categoría</w:t>
            </w:r>
          </w:p>
        </w:tc>
        <w:tc>
          <w:tcPr>
            <w:tcW w:w="2127" w:type="dxa"/>
            <w:tcBorders>
              <w:top w:val="single" w:sz="12" w:space="0" w:color="auto"/>
              <w:left w:val="single" w:sz="6" w:space="0" w:color="auto"/>
              <w:bottom w:val="single" w:sz="6" w:space="0" w:color="auto"/>
              <w:right w:val="single" w:sz="6" w:space="0" w:color="auto"/>
            </w:tcBorders>
            <w:shd w:val="clear" w:color="auto" w:fill="E0E0E0"/>
            <w:tcMar>
              <w:top w:w="100" w:type="nil"/>
              <w:right w:w="100" w:type="nil"/>
            </w:tcMar>
          </w:tcPr>
          <w:p w14:paraId="6990A062" w14:textId="77777777" w:rsidR="00691A23" w:rsidRDefault="00691A23" w:rsidP="00691A23">
            <w:pPr>
              <w:widowControl w:val="0"/>
              <w:autoSpaceDE w:val="0"/>
              <w:autoSpaceDN w:val="0"/>
              <w:adjustRightInd w:val="0"/>
              <w:spacing w:after="0" w:line="211"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5º categoría</w:t>
            </w:r>
          </w:p>
        </w:tc>
      </w:tr>
      <w:tr w:rsidR="00691A23" w14:paraId="04B0F3BA" w14:textId="77777777" w:rsidTr="00691A23">
        <w:tblPrEx>
          <w:tblBorders>
            <w:top w:val="none" w:sz="0" w:space="0" w:color="auto"/>
          </w:tblBorders>
          <w:tblCellMar>
            <w:top w:w="0" w:type="dxa"/>
            <w:bottom w:w="0" w:type="dxa"/>
          </w:tblCellMar>
        </w:tblPrEx>
        <w:trPr>
          <w:jc w:val="center"/>
        </w:trPr>
        <w:tc>
          <w:tcPr>
            <w:tcW w:w="1668" w:type="dxa"/>
            <w:tcBorders>
              <w:top w:val="single" w:sz="6" w:space="0" w:color="auto"/>
              <w:left w:val="single" w:sz="6" w:space="0" w:color="auto"/>
              <w:bottom w:val="single" w:sz="6" w:space="0" w:color="auto"/>
              <w:right w:val="single" w:sz="6" w:space="0" w:color="auto"/>
            </w:tcBorders>
            <w:tcMar>
              <w:top w:w="100" w:type="nil"/>
              <w:right w:w="100" w:type="nil"/>
            </w:tcMar>
          </w:tcPr>
          <w:p w14:paraId="17F06E60"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Básico</w:t>
            </w:r>
          </w:p>
        </w:tc>
        <w:tc>
          <w:tcPr>
            <w:tcW w:w="1538" w:type="dxa"/>
            <w:tcBorders>
              <w:top w:val="single" w:sz="6" w:space="0" w:color="auto"/>
              <w:left w:val="single" w:sz="6" w:space="0" w:color="auto"/>
              <w:bottom w:val="single" w:sz="6" w:space="0" w:color="auto"/>
              <w:right w:val="single" w:sz="6" w:space="0" w:color="auto"/>
            </w:tcBorders>
            <w:tcMar>
              <w:top w:w="100" w:type="nil"/>
              <w:right w:w="100" w:type="nil"/>
            </w:tcMar>
          </w:tcPr>
          <w:p w14:paraId="7DC70CF2"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$ 7.076</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5848A955"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$ 6.726</w:t>
            </w: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769500CF"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$ 6.494</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4D4D0AB9"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$ 6.266</w:t>
            </w:r>
          </w:p>
        </w:tc>
        <w:tc>
          <w:tcPr>
            <w:tcW w:w="2127" w:type="dxa"/>
            <w:tcBorders>
              <w:top w:val="single" w:sz="6" w:space="0" w:color="auto"/>
              <w:left w:val="single" w:sz="6" w:space="0" w:color="auto"/>
              <w:bottom w:val="single" w:sz="6" w:space="0" w:color="auto"/>
              <w:right w:val="single" w:sz="6" w:space="0" w:color="auto"/>
            </w:tcBorders>
            <w:tcMar>
              <w:top w:w="100" w:type="nil"/>
              <w:right w:w="100" w:type="nil"/>
            </w:tcMar>
          </w:tcPr>
          <w:p w14:paraId="1FA1290F"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$ 6.183</w:t>
            </w:r>
          </w:p>
        </w:tc>
      </w:tr>
      <w:tr w:rsidR="00691A23" w14:paraId="5ED87540" w14:textId="77777777" w:rsidTr="00691A23">
        <w:tblPrEx>
          <w:tblBorders>
            <w:top w:val="none" w:sz="0" w:space="0" w:color="auto"/>
          </w:tblBorders>
          <w:tblCellMar>
            <w:top w:w="0" w:type="dxa"/>
            <w:bottom w:w="0" w:type="dxa"/>
          </w:tblCellMar>
        </w:tblPrEx>
        <w:trPr>
          <w:jc w:val="center"/>
        </w:trPr>
        <w:tc>
          <w:tcPr>
            <w:tcW w:w="1668" w:type="dxa"/>
            <w:tcBorders>
              <w:top w:val="single" w:sz="6" w:space="0" w:color="auto"/>
              <w:left w:val="single" w:sz="6" w:space="0" w:color="auto"/>
              <w:bottom w:val="single" w:sz="6" w:space="0" w:color="auto"/>
              <w:right w:val="single" w:sz="6" w:space="0" w:color="auto"/>
            </w:tcBorders>
            <w:tcMar>
              <w:top w:w="100" w:type="nil"/>
              <w:right w:w="100" w:type="nil"/>
            </w:tcMar>
          </w:tcPr>
          <w:p w14:paraId="1382E0CB"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proofErr w:type="spellStart"/>
            <w:r>
              <w:rPr>
                <w:rFonts w:ascii="Trebuchet MS" w:hAnsi="Trebuchet MS" w:cs="Trebuchet MS"/>
                <w:kern w:val="1"/>
                <w:sz w:val="20"/>
                <w:szCs w:val="20"/>
                <w:lang w:val="es-ES"/>
              </w:rPr>
              <w:t>Bap</w:t>
            </w:r>
            <w:proofErr w:type="spellEnd"/>
          </w:p>
        </w:tc>
        <w:tc>
          <w:tcPr>
            <w:tcW w:w="1538" w:type="dxa"/>
            <w:tcBorders>
              <w:top w:val="single" w:sz="6" w:space="0" w:color="auto"/>
              <w:left w:val="single" w:sz="6" w:space="0" w:color="auto"/>
              <w:bottom w:val="single" w:sz="6" w:space="0" w:color="auto"/>
              <w:right w:val="single" w:sz="6" w:space="0" w:color="auto"/>
            </w:tcBorders>
            <w:tcMar>
              <w:top w:w="100" w:type="nil"/>
              <w:right w:w="100" w:type="nil"/>
            </w:tcMar>
          </w:tcPr>
          <w:p w14:paraId="1EF68465"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$ 707</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7241D674"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$ 672</w:t>
            </w: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62CD1015"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$ 649</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6FEEDDDA"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$ 626</w:t>
            </w:r>
          </w:p>
        </w:tc>
        <w:tc>
          <w:tcPr>
            <w:tcW w:w="2127" w:type="dxa"/>
            <w:tcBorders>
              <w:top w:val="single" w:sz="6" w:space="0" w:color="auto"/>
              <w:left w:val="single" w:sz="6" w:space="0" w:color="auto"/>
              <w:bottom w:val="single" w:sz="6" w:space="0" w:color="auto"/>
              <w:right w:val="single" w:sz="6" w:space="0" w:color="auto"/>
            </w:tcBorders>
            <w:tcMar>
              <w:top w:w="100" w:type="nil"/>
              <w:right w:w="100" w:type="nil"/>
            </w:tcMar>
          </w:tcPr>
          <w:p w14:paraId="39C1E770" w14:textId="77777777" w:rsidR="00691A23" w:rsidRDefault="00691A23" w:rsidP="00691A23">
            <w:pPr>
              <w:widowControl w:val="0"/>
              <w:autoSpaceDE w:val="0"/>
              <w:autoSpaceDN w:val="0"/>
              <w:adjustRightInd w:val="0"/>
              <w:spacing w:after="0" w:line="212"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$ 618</w:t>
            </w:r>
          </w:p>
        </w:tc>
      </w:tr>
      <w:tr w:rsidR="00691A23" w14:paraId="58099765" w14:textId="77777777" w:rsidTr="00691A23">
        <w:tblPrEx>
          <w:tblBorders>
            <w:top w:val="none" w:sz="0" w:space="0" w:color="auto"/>
            <w:bottom w:val="single" w:sz="12" w:space="0" w:color="auto"/>
          </w:tblBorders>
          <w:tblCellMar>
            <w:top w:w="0" w:type="dxa"/>
            <w:bottom w:w="0" w:type="dxa"/>
          </w:tblCellMar>
        </w:tblPrEx>
        <w:trPr>
          <w:jc w:val="center"/>
        </w:trPr>
        <w:tc>
          <w:tcPr>
            <w:tcW w:w="1668" w:type="dxa"/>
            <w:tcBorders>
              <w:top w:val="single" w:sz="6" w:space="0" w:color="auto"/>
              <w:left w:val="single" w:sz="6" w:space="0" w:color="auto"/>
              <w:bottom w:val="single" w:sz="6" w:space="0" w:color="auto"/>
              <w:right w:val="single" w:sz="6" w:space="0" w:color="auto"/>
            </w:tcBorders>
            <w:tcMar>
              <w:top w:w="100" w:type="nil"/>
              <w:right w:w="100" w:type="nil"/>
            </w:tcMar>
          </w:tcPr>
          <w:p w14:paraId="3116EF9E"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Total</w:t>
            </w:r>
          </w:p>
        </w:tc>
        <w:tc>
          <w:tcPr>
            <w:tcW w:w="1538" w:type="dxa"/>
            <w:tcBorders>
              <w:top w:val="single" w:sz="6" w:space="0" w:color="auto"/>
              <w:left w:val="single" w:sz="6" w:space="0" w:color="auto"/>
              <w:bottom w:val="single" w:sz="6" w:space="0" w:color="auto"/>
              <w:right w:val="single" w:sz="6" w:space="0" w:color="auto"/>
            </w:tcBorders>
            <w:tcMar>
              <w:top w:w="100" w:type="nil"/>
              <w:right w:w="100" w:type="nil"/>
            </w:tcMar>
          </w:tcPr>
          <w:p w14:paraId="57F3524B"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$ 7.783</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2CA8F58B"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$ 7.398</w:t>
            </w:r>
          </w:p>
        </w:tc>
        <w:tc>
          <w:tcPr>
            <w:tcW w:w="1560" w:type="dxa"/>
            <w:tcBorders>
              <w:top w:val="single" w:sz="6" w:space="0" w:color="auto"/>
              <w:left w:val="single" w:sz="6" w:space="0" w:color="auto"/>
              <w:bottom w:val="single" w:sz="6" w:space="0" w:color="auto"/>
              <w:right w:val="single" w:sz="6" w:space="0" w:color="auto"/>
            </w:tcBorders>
            <w:tcMar>
              <w:top w:w="100" w:type="nil"/>
              <w:right w:w="100" w:type="nil"/>
            </w:tcMar>
          </w:tcPr>
          <w:p w14:paraId="68E0975B"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$ 7.143</w:t>
            </w:r>
          </w:p>
        </w:tc>
        <w:tc>
          <w:tcPr>
            <w:tcW w:w="1559" w:type="dxa"/>
            <w:tcBorders>
              <w:top w:val="single" w:sz="6" w:space="0" w:color="auto"/>
              <w:left w:val="single" w:sz="6" w:space="0" w:color="auto"/>
              <w:bottom w:val="single" w:sz="6" w:space="0" w:color="auto"/>
              <w:right w:val="single" w:sz="6" w:space="0" w:color="auto"/>
            </w:tcBorders>
            <w:tcMar>
              <w:top w:w="100" w:type="nil"/>
              <w:right w:w="100" w:type="nil"/>
            </w:tcMar>
          </w:tcPr>
          <w:p w14:paraId="0B1B714D"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$ 6.892</w:t>
            </w:r>
          </w:p>
        </w:tc>
        <w:tc>
          <w:tcPr>
            <w:tcW w:w="2127" w:type="dxa"/>
            <w:tcBorders>
              <w:top w:val="single" w:sz="6" w:space="0" w:color="auto"/>
              <w:left w:val="single" w:sz="6" w:space="0" w:color="auto"/>
              <w:bottom w:val="single" w:sz="6" w:space="0" w:color="auto"/>
              <w:right w:val="single" w:sz="6" w:space="0" w:color="auto"/>
            </w:tcBorders>
            <w:tcMar>
              <w:top w:w="100" w:type="nil"/>
              <w:right w:w="100" w:type="nil"/>
            </w:tcMar>
          </w:tcPr>
          <w:p w14:paraId="36D65863" w14:textId="77777777" w:rsidR="00691A23" w:rsidRDefault="00691A23" w:rsidP="00691A23">
            <w:pPr>
              <w:widowControl w:val="0"/>
              <w:autoSpaceDE w:val="0"/>
              <w:autoSpaceDN w:val="0"/>
              <w:adjustRightInd w:val="0"/>
              <w:spacing w:after="0" w:line="213" w:lineRule="exact"/>
              <w:ind w:right="-1"/>
              <w:rPr>
                <w:rFonts w:ascii="Trebuchet MS" w:hAnsi="Trebuchet MS" w:cs="Trebuchet MS"/>
                <w:kern w:val="1"/>
                <w:sz w:val="20"/>
                <w:szCs w:val="20"/>
                <w:lang w:val="es-ES"/>
              </w:rPr>
            </w:pPr>
            <w:r>
              <w:rPr>
                <w:rFonts w:ascii="Trebuchet MS" w:hAnsi="Trebuchet MS" w:cs="Trebuchet MS"/>
                <w:kern w:val="1"/>
                <w:sz w:val="20"/>
                <w:szCs w:val="20"/>
                <w:lang w:val="es-ES"/>
              </w:rPr>
              <w:t>$ 6.801</w:t>
            </w:r>
          </w:p>
        </w:tc>
      </w:tr>
    </w:tbl>
    <w:p w14:paraId="0301D7D6"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lang w:val="es-ES"/>
        </w:rPr>
      </w:pPr>
    </w:p>
    <w:p w14:paraId="78C1CD8F" w14:textId="77777777" w:rsidR="00691A23" w:rsidRDefault="00691A23" w:rsidP="00691A23">
      <w:pPr>
        <w:widowControl w:val="0"/>
        <w:autoSpaceDE w:val="0"/>
        <w:autoSpaceDN w:val="0"/>
        <w:adjustRightInd w:val="0"/>
        <w:spacing w:before="1" w:after="0" w:line="240" w:lineRule="auto"/>
        <w:ind w:right="-1"/>
        <w:rPr>
          <w:rFonts w:ascii="Times New Roman" w:hAnsi="Times New Roman" w:cs="Times New Roman"/>
          <w:kern w:val="1"/>
          <w:sz w:val="17"/>
          <w:szCs w:val="17"/>
          <w:lang w:val="es-ES"/>
        </w:rPr>
      </w:pPr>
    </w:p>
    <w:p w14:paraId="3DF7D638"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Segundo: Se reitera en todos sus términos la vigencia de la contribución empresaria sobre el salario de los trabajadores, establecidos en los acuerdos de los años 2006 a la fecha, y en cuanto a las modalidades de la </w:t>
      </w:r>
      <w:r>
        <w:rPr>
          <w:rFonts w:ascii="Trebuchet MS" w:hAnsi="Trebuchet MS" w:cs="Trebuchet MS"/>
          <w:kern w:val="1"/>
          <w:sz w:val="20"/>
          <w:szCs w:val="20"/>
          <w:lang w:val="es-ES"/>
        </w:rPr>
        <w:lastRenderedPageBreak/>
        <w:t>misma, 3% para el mes de marzo de 2014, 3% para el mes de abril de 2014, 3% para el mes de mayo de 2014 y 2% para el mes de junio de 2014, el destino de dicha contribución a favor del SAEOEP se establece para: promoción, acción mutual, salud, capacitación, turismo, recreación y publicidad.</w:t>
      </w:r>
    </w:p>
    <w:p w14:paraId="67E20911" w14:textId="77777777" w:rsidR="00691A23" w:rsidRDefault="00691A23" w:rsidP="00691A23">
      <w:pPr>
        <w:widowControl w:val="0"/>
        <w:autoSpaceDE w:val="0"/>
        <w:autoSpaceDN w:val="0"/>
        <w:adjustRightInd w:val="0"/>
        <w:spacing w:before="2" w:after="0" w:line="240" w:lineRule="auto"/>
        <w:ind w:right="-1"/>
        <w:rPr>
          <w:rFonts w:ascii="Times New Roman" w:hAnsi="Times New Roman" w:cs="Times New Roman"/>
          <w:kern w:val="1"/>
          <w:sz w:val="19"/>
          <w:szCs w:val="19"/>
          <w:lang w:val="es-ES"/>
        </w:rPr>
      </w:pPr>
    </w:p>
    <w:p w14:paraId="6582D280" w14:textId="77777777" w:rsidR="00691A23" w:rsidRDefault="00691A23" w:rsidP="00691A23">
      <w:pPr>
        <w:widowControl w:val="0"/>
        <w:autoSpaceDE w:val="0"/>
        <w:autoSpaceDN w:val="0"/>
        <w:adjustRightInd w:val="0"/>
        <w:spacing w:before="100"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Tercero: La modalidad del fondo solidario a cargo de todos los trabajadores afiliados y no afiliados al SAEOEP consistente en un aporte mensual del 1% a favor de dicha organización gremial, en cuanto al destino de dichos aportes se establece para: turismo, recreación, capacitación, promoción, acción mutual, salud y publicidad. Se reitera que esta cláusula tiene vigencia hasta la celebración de un nuevo convenio colectivo de trabajo integral para el</w:t>
      </w:r>
      <w:r>
        <w:rPr>
          <w:rFonts w:ascii="Trebuchet MS" w:hAnsi="Trebuchet MS" w:cs="Trebuchet MS"/>
          <w:spacing w:val="-5"/>
          <w:kern w:val="1"/>
          <w:sz w:val="20"/>
          <w:szCs w:val="20"/>
          <w:lang w:val="es-ES"/>
        </w:rPr>
        <w:t xml:space="preserve"> </w:t>
      </w:r>
      <w:r>
        <w:rPr>
          <w:rFonts w:ascii="Trebuchet MS" w:hAnsi="Trebuchet MS" w:cs="Trebuchet MS"/>
          <w:kern w:val="1"/>
          <w:sz w:val="20"/>
          <w:szCs w:val="20"/>
          <w:lang w:val="es-ES"/>
        </w:rPr>
        <w:t>sector.</w:t>
      </w:r>
    </w:p>
    <w:p w14:paraId="66D265F8"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309EC365"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Cuarto: La planilla salarial acordada en la cláusula "primera" exclusivamente, tiene vigencia hasta el 28 de febrero de 2015.</w:t>
      </w:r>
    </w:p>
    <w:p w14:paraId="55BACD89"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7A6BE46C"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Quinto: Con respecto a los trabajadores que al 28 de febrero de 2014 tengan salarios básicos superiores a los determinados en el presente o sumas a cuenta de dichos incrementos, los empleadores podrán absorber dicha diferencia respecto de las retribuciones básicas convenidas a partir del 1 de marzo de 2014.</w:t>
      </w:r>
    </w:p>
    <w:p w14:paraId="1826F368" w14:textId="77777777" w:rsidR="00691A23" w:rsidRDefault="00691A23" w:rsidP="00691A23">
      <w:pPr>
        <w:widowControl w:val="0"/>
        <w:autoSpaceDE w:val="0"/>
        <w:autoSpaceDN w:val="0"/>
        <w:adjustRightInd w:val="0"/>
        <w:spacing w:before="1" w:after="0" w:line="240" w:lineRule="auto"/>
        <w:ind w:right="-1"/>
        <w:rPr>
          <w:rFonts w:ascii="Times New Roman" w:hAnsi="Times New Roman" w:cs="Times New Roman"/>
          <w:kern w:val="1"/>
          <w:sz w:val="20"/>
          <w:szCs w:val="20"/>
          <w:lang w:val="es-ES"/>
        </w:rPr>
      </w:pPr>
    </w:p>
    <w:p w14:paraId="29548D1D"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Sexto: Las partes suscriben el presente en tres ejemplares para su presentación ante el Ministerio de Trabajo de la Nación y posterior homologación.</w:t>
      </w:r>
    </w:p>
    <w:p w14:paraId="2BB64B15" w14:textId="77777777" w:rsidR="00691A23" w:rsidRDefault="00691A23" w:rsidP="00691A23">
      <w:pPr>
        <w:widowControl w:val="0"/>
        <w:autoSpaceDE w:val="0"/>
        <w:autoSpaceDN w:val="0"/>
        <w:adjustRightInd w:val="0"/>
        <w:spacing w:before="11" w:after="0" w:line="240" w:lineRule="auto"/>
        <w:ind w:right="-1"/>
        <w:rPr>
          <w:rFonts w:ascii="Times New Roman" w:hAnsi="Times New Roman" w:cs="Times New Roman"/>
          <w:kern w:val="1"/>
          <w:sz w:val="19"/>
          <w:szCs w:val="19"/>
          <w:lang w:val="es-ES"/>
        </w:rPr>
      </w:pPr>
    </w:p>
    <w:p w14:paraId="0B6B2B4A"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ACUERDO DE RATIFICACIÓN</w:t>
      </w:r>
    </w:p>
    <w:p w14:paraId="29687460"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27454D16"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Expediente 1.619.070/14</w:t>
      </w:r>
    </w:p>
    <w:p w14:paraId="28AB000A"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432D3834" w14:textId="77777777" w:rsidR="00691A23" w:rsidRDefault="00691A23" w:rsidP="00691A23">
      <w:pPr>
        <w:widowControl w:val="0"/>
        <w:autoSpaceDE w:val="0"/>
        <w:autoSpaceDN w:val="0"/>
        <w:adjustRightInd w:val="0"/>
        <w:spacing w:after="0" w:line="240" w:lineRule="auto"/>
        <w:ind w:right="-1"/>
        <w:jc w:val="both"/>
        <w:rPr>
          <w:rFonts w:ascii="Times New Roman" w:hAnsi="Times New Roman" w:cs="Times New Roman"/>
          <w:kern w:val="1"/>
          <w:sz w:val="20"/>
          <w:szCs w:val="20"/>
          <w:lang w:val="es-ES"/>
        </w:rPr>
      </w:pPr>
    </w:p>
    <w:p w14:paraId="38D2020D"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6BA57A6C"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 xml:space="preserve">En la Ciudad de Buenos Aires, a los 7 días del mes de mayo de 2014, siendo las 16 horas, comparecen al Ministerio de Trabajo Empleo y Seguridad Social, ante mí, doctor Adalberto V. Días, Secretario del Departamento de Relaciones Laborales N° 1 de la Dirección Nacional de Negociación Colectiva, Guillermo Edgardo Marconi y Miguel Ángel </w:t>
      </w:r>
      <w:proofErr w:type="spellStart"/>
      <w:r>
        <w:rPr>
          <w:rFonts w:ascii="Trebuchet MS" w:hAnsi="Trebuchet MS" w:cs="Trebuchet MS"/>
          <w:kern w:val="1"/>
          <w:sz w:val="20"/>
          <w:szCs w:val="20"/>
          <w:lang w:val="es-ES"/>
        </w:rPr>
        <w:t>Marrapodi</w:t>
      </w:r>
      <w:proofErr w:type="spellEnd"/>
      <w:r>
        <w:rPr>
          <w:rFonts w:ascii="Trebuchet MS" w:hAnsi="Trebuchet MS" w:cs="Trebuchet MS"/>
          <w:kern w:val="1"/>
          <w:sz w:val="20"/>
          <w:szCs w:val="20"/>
          <w:lang w:val="es-ES"/>
        </w:rPr>
        <w:t xml:space="preserve"> en representación del Sindicato Argentino de Obreros y Empleados de la Enseñanza Privada, por una parte y por la otra el doctor Álvaro Eduardo Joaquín Francisco Pérez de Castro con DNI 5.526.516 en su carácter de apoderado y paritario constituyendo el domicilio en calle Montevideo 765 piso 3 "A" de la Ciudad Autónoma de Buenos Aires (tel. 4813-5133/5530-7609) en representación de la Asociación de Institutos de Enseñanza Privada (ADIDEP) y el doctor Claudio Julio César Ramos con DNI 14.430.928 en su carácter de Secretario Ejecutivo del Consejo Superior de Educación Católica y paritario, constituyendo el domicilio en calle Rodríguez Peña 846 piso 1 de la Ciudad Autónoma de Buenos Aires (tel. 4815-8815) en representación del Consejo Superior de Educación Católica</w:t>
      </w:r>
      <w:r>
        <w:rPr>
          <w:rFonts w:ascii="Trebuchet MS" w:hAnsi="Trebuchet MS" w:cs="Trebuchet MS"/>
          <w:spacing w:val="-23"/>
          <w:kern w:val="1"/>
          <w:sz w:val="20"/>
          <w:szCs w:val="20"/>
          <w:lang w:val="es-ES"/>
        </w:rPr>
        <w:t xml:space="preserve"> </w:t>
      </w:r>
      <w:r>
        <w:rPr>
          <w:rFonts w:ascii="Trebuchet MS" w:hAnsi="Trebuchet MS" w:cs="Trebuchet MS"/>
          <w:kern w:val="1"/>
          <w:sz w:val="20"/>
          <w:szCs w:val="20"/>
          <w:lang w:val="es-ES"/>
        </w:rPr>
        <w:t>(CONSUDEC).</w:t>
      </w:r>
    </w:p>
    <w:p w14:paraId="465668EF"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Declarado abierto el acto por el funcionario actuante cedida la palabra a las partes manifiestan que venimos a ratificar en todos y cada uno de sus términos el Acuerdo alcanzado el día 6 de mayo de 2014, que consta de 2 fojas el cual se agrega en este acto a las presentes</w:t>
      </w:r>
      <w:r>
        <w:rPr>
          <w:rFonts w:ascii="Trebuchet MS" w:hAnsi="Trebuchet MS" w:cs="Trebuchet MS"/>
          <w:spacing w:val="-15"/>
          <w:kern w:val="1"/>
          <w:sz w:val="20"/>
          <w:szCs w:val="20"/>
          <w:lang w:val="es-ES"/>
        </w:rPr>
        <w:t xml:space="preserve"> </w:t>
      </w:r>
      <w:r>
        <w:rPr>
          <w:rFonts w:ascii="Trebuchet MS" w:hAnsi="Trebuchet MS" w:cs="Trebuchet MS"/>
          <w:kern w:val="1"/>
          <w:sz w:val="20"/>
          <w:szCs w:val="20"/>
          <w:lang w:val="es-ES"/>
        </w:rPr>
        <w:t>actuaciones.</w:t>
      </w:r>
    </w:p>
    <w:p w14:paraId="7C0481A5" w14:textId="77777777" w:rsidR="00691A23" w:rsidRDefault="00691A23" w:rsidP="00691A23">
      <w:pPr>
        <w:widowControl w:val="0"/>
        <w:autoSpaceDE w:val="0"/>
        <w:autoSpaceDN w:val="0"/>
        <w:adjustRightInd w:val="0"/>
        <w:spacing w:after="0" w:line="240" w:lineRule="auto"/>
        <w:ind w:right="-1"/>
        <w:rPr>
          <w:rFonts w:ascii="Times New Roman" w:hAnsi="Times New Roman" w:cs="Times New Roman"/>
          <w:kern w:val="1"/>
          <w:sz w:val="20"/>
          <w:szCs w:val="20"/>
          <w:lang w:val="es-ES"/>
        </w:rPr>
      </w:pPr>
    </w:p>
    <w:p w14:paraId="53EE9B90" w14:textId="77777777" w:rsidR="00691A23" w:rsidRDefault="00691A23" w:rsidP="00691A23">
      <w:pPr>
        <w:widowControl w:val="0"/>
        <w:autoSpaceDE w:val="0"/>
        <w:autoSpaceDN w:val="0"/>
        <w:adjustRightInd w:val="0"/>
        <w:spacing w:after="0" w:line="240" w:lineRule="auto"/>
        <w:ind w:right="-1"/>
        <w:jc w:val="both"/>
        <w:rPr>
          <w:rFonts w:ascii="Trebuchet MS" w:hAnsi="Trebuchet MS" w:cs="Trebuchet MS"/>
          <w:kern w:val="1"/>
          <w:sz w:val="20"/>
          <w:szCs w:val="20"/>
          <w:lang w:val="es-ES"/>
        </w:rPr>
      </w:pPr>
      <w:r>
        <w:rPr>
          <w:rFonts w:ascii="Trebuchet MS" w:hAnsi="Trebuchet MS" w:cs="Trebuchet MS"/>
          <w:kern w:val="1"/>
          <w:sz w:val="20"/>
          <w:szCs w:val="20"/>
          <w:lang w:val="es-ES"/>
        </w:rPr>
        <w:t>Sin más siendo las 17 horas se da por finalizado el acto firmando las partes ante mí que certifico.</w:t>
      </w:r>
    </w:p>
    <w:p w14:paraId="6CDB0543" w14:textId="39F7095A" w:rsidR="00592F1B" w:rsidRPr="00AC3BA6" w:rsidRDefault="00592F1B" w:rsidP="00691A23">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Arial"/>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91A23"/>
    <w:rsid w:val="006D1685"/>
    <w:rsid w:val="007906D4"/>
    <w:rsid w:val="00905D9F"/>
    <w:rsid w:val="00AC3BA6"/>
    <w:rsid w:val="00B21F6A"/>
    <w:rsid w:val="00B64518"/>
    <w:rsid w:val="00B6751E"/>
    <w:rsid w:val="00B91930"/>
    <w:rsid w:val="00E92FFD"/>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1336</Words>
  <Characters>7348</Characters>
  <Application>Microsoft Macintosh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2021-05-18T15:43:00Z</dcterms:created>
  <dcterms:modified xsi:type="dcterms:W3CDTF">2021-05-18T15:43:00Z</dcterms:modified>
</cp:coreProperties>
</file>