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ADBFF" w14:textId="77777777" w:rsidR="00D62F1B" w:rsidRDefault="00D62F1B" w:rsidP="00D62F1B">
      <w:pPr>
        <w:jc w:val="center"/>
        <w:rPr>
          <w:rFonts w:ascii="Trebuchet MS" w:hAnsi="Trebuchet MS" w:cs="Helvetica"/>
          <w:b/>
        </w:rPr>
      </w:pPr>
    </w:p>
    <w:p w14:paraId="7E63CB4B" w14:textId="77777777" w:rsidR="00D62F1B" w:rsidRDefault="00D62F1B" w:rsidP="00D62F1B">
      <w:pPr>
        <w:jc w:val="center"/>
        <w:rPr>
          <w:rFonts w:ascii="Trebuchet MS" w:hAnsi="Trebuchet MS" w:cs="Helvetica"/>
          <w:b/>
        </w:rPr>
      </w:pPr>
      <w:bookmarkStart w:id="0" w:name="_GoBack"/>
      <w:bookmarkEnd w:id="0"/>
      <w:r w:rsidRPr="00E13EE2">
        <w:rPr>
          <w:rFonts w:ascii="Trebuchet MS" w:hAnsi="Trebuchet MS" w:cs="Helvetica"/>
          <w:b/>
        </w:rPr>
        <w:t>LA EDUCACIÓN EN CONTEXTOS DE PRIVACIÓN DE LIBERTAD</w:t>
      </w:r>
    </w:p>
    <w:p w14:paraId="557B0464" w14:textId="77777777" w:rsidR="00D62F1B" w:rsidRDefault="00D62F1B" w:rsidP="00D62F1B">
      <w:pPr>
        <w:jc w:val="center"/>
        <w:rPr>
          <w:rFonts w:ascii="Trebuchet MS" w:hAnsi="Trebuchet MS" w:cs="Helvetica"/>
          <w:b/>
        </w:rPr>
      </w:pPr>
    </w:p>
    <w:p w14:paraId="6B644BD0" w14:textId="77777777" w:rsidR="00D62F1B" w:rsidRDefault="00D62F1B" w:rsidP="00D62F1B">
      <w:pPr>
        <w:jc w:val="center"/>
        <w:rPr>
          <w:rFonts w:ascii="Trebuchet MS" w:hAnsi="Trebuchet MS" w:cs="Helvetica"/>
          <w:b/>
        </w:rPr>
      </w:pPr>
      <w:r>
        <w:rPr>
          <w:rFonts w:ascii="Trebuchet MS" w:hAnsi="Trebuchet MS" w:cs="Helvetica"/>
          <w:b/>
        </w:rPr>
        <w:t>CONSEJO FEDERAL DE EDUCACIÓN</w:t>
      </w:r>
    </w:p>
    <w:p w14:paraId="01BD6274" w14:textId="77777777" w:rsidR="00D62F1B" w:rsidRPr="00E13EE2" w:rsidRDefault="00D62F1B" w:rsidP="00D62F1B">
      <w:pPr>
        <w:jc w:val="center"/>
        <w:rPr>
          <w:b/>
          <w:highlight w:val="black"/>
        </w:rPr>
      </w:pPr>
    </w:p>
    <w:p w14:paraId="5976A13B" w14:textId="77777777" w:rsidR="00D62F1B" w:rsidRDefault="00D62F1B" w:rsidP="00D62F1B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 xml:space="preserve">RESOLUCIÓN </w:t>
      </w:r>
      <w:r w:rsidRPr="007B46BB">
        <w:rPr>
          <w:rFonts w:ascii="Trebuchet MS" w:hAnsi="Trebuchet MS" w:cs="Helvetica-Bold"/>
          <w:b/>
          <w:bCs/>
        </w:rPr>
        <w:t xml:space="preserve"> Nº 127/10</w:t>
      </w:r>
    </w:p>
    <w:p w14:paraId="37142AE7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1BBEC1ED" w14:textId="77777777" w:rsidR="00D62F1B" w:rsidRPr="007B46BB" w:rsidRDefault="00D62F1B" w:rsidP="00D62F1B">
      <w:pPr>
        <w:autoSpaceDE w:val="0"/>
        <w:autoSpaceDN w:val="0"/>
        <w:adjustRightInd w:val="0"/>
        <w:jc w:val="right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Buenos Aires, 13 de diciembre de 2010</w:t>
      </w:r>
    </w:p>
    <w:p w14:paraId="00226B0E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371B647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  <w:b/>
        </w:rPr>
        <w:t xml:space="preserve">VISTO </w:t>
      </w:r>
      <w:r w:rsidRPr="007B46BB">
        <w:rPr>
          <w:rFonts w:ascii="Trebuchet MS" w:hAnsi="Trebuchet MS" w:cs="Helvetica"/>
        </w:rPr>
        <w:t>la Ley de Educación Nacional N° 26.206 y la Resolución CFE Nº 110/10 y,</w:t>
      </w:r>
    </w:p>
    <w:p w14:paraId="7C6A927D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F82C5B1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  <w:r w:rsidRPr="007B46BB">
        <w:rPr>
          <w:rFonts w:ascii="Trebuchet MS" w:hAnsi="Trebuchet MS" w:cs="Helvetica"/>
          <w:b/>
        </w:rPr>
        <w:t>CONSIDERANDO:</w:t>
      </w:r>
    </w:p>
    <w:p w14:paraId="76E6C993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Que el artículo 17 de la Ley de Educación Nacional (LEN) establece que la Educación en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Contextos de Privación de Libertad es una de las modalidades del Sistema Educativo Nacional.</w:t>
      </w:r>
    </w:p>
    <w:p w14:paraId="0ED0080A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DD11005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Que, conforme el artículo 55 de la LEN, la Educación en Contextos de Privación de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Libertad es la modalidad destinada a garantizar el derecho a la educación de todas las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personas privadas de libertad, para promover su formación integral y desarrollo pleno.</w:t>
      </w:r>
    </w:p>
    <w:p w14:paraId="386065FC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5354A0A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Que asimismo, el ejercicio de este derecho no admite limitación ni discriminación alguna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vinculada a la situación de encierro, y debe ser puesto en conocimiento de todas las personas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privadas de libertad, en forma fehaciente, desde el momento de su ingreso a la institución.</w:t>
      </w:r>
    </w:p>
    <w:p w14:paraId="48664523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67731F3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Que el CONSEJO FEDERAL DE EDUCACIÓN es el ámbito de concertación, acuerdo y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coordinación de la política educativa nacional, debiendo asegurar la unidad y articulación del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sistema educativo nacional.</w:t>
      </w:r>
    </w:p>
    <w:p w14:paraId="75C3EFC5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8D2571E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Que, conforme el artículo 10º de la Resolución CFE Nº 1/07, por Resolución CFE Nº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110/10 se aprobó para la discusión el documento “LA EDUCACIÓN EN CONTEXTOS DE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PRIVACIÓN DE LIBERTAD EN EL SISTEMA EDUCATIVO NACIONAL”.</w:t>
      </w:r>
    </w:p>
    <w:p w14:paraId="38651229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87676E7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Que finalizados los procesos de consulta previstos en el Reglamento de Funcionamiento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de este cuerpo, se presenta para su aprobación definitiva el citado documento</w:t>
      </w:r>
    </w:p>
    <w:p w14:paraId="13BC44C0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8A64282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lastRenderedPageBreak/>
        <w:t>Que la presente medida se adopta con el voto afirmativo de todos los miembros de esta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Asamblea Federal, a excepción de la provincia de San Luis y un integrante del Consejo de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Universidades, por ausencia de sus representantes.</w:t>
      </w:r>
    </w:p>
    <w:p w14:paraId="5D523703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6155A5D" w14:textId="77777777" w:rsidR="00D62F1B" w:rsidRPr="007B46BB" w:rsidRDefault="00D62F1B" w:rsidP="00D62F1B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7B46BB">
        <w:rPr>
          <w:rFonts w:ascii="Trebuchet MS" w:hAnsi="Trebuchet MS" w:cs="Helvetica"/>
          <w:b/>
        </w:rPr>
        <w:t>Por ello,</w:t>
      </w:r>
    </w:p>
    <w:p w14:paraId="6C386751" w14:textId="77777777" w:rsidR="00D62F1B" w:rsidRPr="007B46BB" w:rsidRDefault="00D62F1B" w:rsidP="00D62F1B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7B46BB">
        <w:rPr>
          <w:rFonts w:ascii="Trebuchet MS" w:hAnsi="Trebuchet MS" w:cs="Helvetica"/>
          <w:b/>
        </w:rPr>
        <w:t>LA XXXII ASAMBLEA DEL CONSEJO FEDERAL DE EDUCACIÓN</w:t>
      </w:r>
    </w:p>
    <w:p w14:paraId="4AE07DD8" w14:textId="77777777" w:rsidR="00D62F1B" w:rsidRPr="007B46BB" w:rsidRDefault="00D62F1B" w:rsidP="00D62F1B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7B46BB">
        <w:rPr>
          <w:rFonts w:ascii="Trebuchet MS" w:hAnsi="Trebuchet MS" w:cs="Helvetica"/>
          <w:b/>
        </w:rPr>
        <w:t>RESUELVE:</w:t>
      </w:r>
    </w:p>
    <w:p w14:paraId="2148A535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AF69EA5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  <w:b/>
        </w:rPr>
        <w:t>ARTÍCULO 1º.-</w:t>
      </w:r>
      <w:r w:rsidRPr="007B46BB">
        <w:rPr>
          <w:rFonts w:ascii="Trebuchet MS" w:hAnsi="Trebuchet MS" w:cs="Helvetica"/>
        </w:rPr>
        <w:t xml:space="preserve"> Aprobar el documento “LA EDUCACIÓN EN CONTEXTOS DE PRIVACIÓN DE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LIBERTAD EN EL SISTEMA EDUCATIVO NACIONAL”, que como anexo, forma parte de la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presente resolución.</w:t>
      </w:r>
    </w:p>
    <w:p w14:paraId="62310937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0E3B64C4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  <w:b/>
        </w:rPr>
        <w:t>ARTÍCULO 2º.-</w:t>
      </w:r>
      <w:r w:rsidRPr="007B46BB">
        <w:rPr>
          <w:rFonts w:ascii="Trebuchet MS" w:hAnsi="Trebuchet MS" w:cs="Helvetica"/>
        </w:rPr>
        <w:t xml:space="preserve"> Regístrese, comuníquese y notifíquese a los integrantes del CONSEJO</w:t>
      </w:r>
    </w:p>
    <w:p w14:paraId="17956841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FEDERAL DE EDUCACIÓN y, cumplido, archívese.</w:t>
      </w:r>
    </w:p>
    <w:p w14:paraId="59CD502A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4895132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B46BB">
        <w:rPr>
          <w:rFonts w:ascii="Trebuchet MS" w:hAnsi="Trebuchet MS" w:cs="Helvetica"/>
        </w:rPr>
        <w:t>Fdo:</w:t>
      </w:r>
      <w:r>
        <w:rPr>
          <w:rFonts w:ascii="Trebuchet MS" w:hAnsi="Trebuchet MS" w:cs="Helvetica"/>
        </w:rPr>
        <w:t xml:space="preserve"> </w:t>
      </w:r>
      <w:r w:rsidRPr="007B46BB">
        <w:rPr>
          <w:rFonts w:ascii="Trebuchet MS" w:hAnsi="Trebuchet MS" w:cs="Helvetica"/>
        </w:rPr>
        <w:t>Prof. Alberto Sileoni – Ministro de Educación de la Nación</w:t>
      </w:r>
    </w:p>
    <w:p w14:paraId="12FCC142" w14:textId="77777777" w:rsidR="00D62F1B" w:rsidRPr="007B46B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>
        <w:rPr>
          <w:rFonts w:ascii="Trebuchet MS" w:hAnsi="Trebuchet MS" w:cs="Helvetica"/>
        </w:rPr>
        <w:t xml:space="preserve">        </w:t>
      </w:r>
      <w:r w:rsidRPr="007B46BB">
        <w:rPr>
          <w:rFonts w:ascii="Trebuchet MS" w:hAnsi="Trebuchet MS" w:cs="Helvetica"/>
        </w:rPr>
        <w:t>Prof. Domingo de Cara – Secretario General del Consejo Federal de Educación</w:t>
      </w:r>
    </w:p>
    <w:p w14:paraId="058ECF81" w14:textId="77777777" w:rsidR="00D62F1B" w:rsidRDefault="00D62F1B" w:rsidP="00D62F1B">
      <w:pPr>
        <w:jc w:val="both"/>
        <w:rPr>
          <w:rFonts w:ascii="Trebuchet MS" w:hAnsi="Trebuchet MS" w:cs="Helvetica-Bold"/>
          <w:b/>
          <w:bCs/>
        </w:rPr>
      </w:pPr>
    </w:p>
    <w:p w14:paraId="52BB4920" w14:textId="77777777" w:rsidR="00D62F1B" w:rsidRDefault="00D62F1B" w:rsidP="00D62F1B">
      <w:pPr>
        <w:jc w:val="both"/>
        <w:rPr>
          <w:rFonts w:ascii="Trebuchet MS" w:hAnsi="Trebuchet MS" w:cs="Helvetica-Bold"/>
          <w:b/>
          <w:bCs/>
        </w:rPr>
      </w:pPr>
    </w:p>
    <w:p w14:paraId="75F1327A" w14:textId="77777777" w:rsidR="00D62F1B" w:rsidRDefault="00D62F1B" w:rsidP="00D62F1B">
      <w:pPr>
        <w:jc w:val="both"/>
        <w:rPr>
          <w:rFonts w:ascii="Trebuchet MS" w:hAnsi="Trebuchet MS" w:cs="Helvetica-Bold"/>
          <w:b/>
          <w:bCs/>
        </w:rPr>
      </w:pPr>
    </w:p>
    <w:p w14:paraId="412A7B11" w14:textId="77777777" w:rsidR="00D62F1B" w:rsidRDefault="00D62F1B" w:rsidP="00D62F1B">
      <w:pPr>
        <w:jc w:val="both"/>
        <w:rPr>
          <w:rFonts w:ascii="Trebuchet MS" w:hAnsi="Trebuchet MS" w:cs="Helvetica-Bold"/>
          <w:b/>
          <w:bCs/>
        </w:rPr>
      </w:pPr>
    </w:p>
    <w:p w14:paraId="15C001B0" w14:textId="77777777" w:rsidR="00D62F1B" w:rsidRDefault="00D62F1B" w:rsidP="00D62F1B">
      <w:pPr>
        <w:jc w:val="both"/>
        <w:rPr>
          <w:rFonts w:ascii="Trebuchet MS" w:hAnsi="Trebuchet MS" w:cs="Helvetica-Bold"/>
          <w:b/>
          <w:bCs/>
        </w:rPr>
      </w:pPr>
    </w:p>
    <w:p w14:paraId="020D6D7F" w14:textId="77777777" w:rsidR="00D62F1B" w:rsidRDefault="00D62F1B" w:rsidP="00D62F1B">
      <w:pPr>
        <w:jc w:val="both"/>
        <w:rPr>
          <w:rFonts w:ascii="Trebuchet MS" w:hAnsi="Trebuchet MS" w:cs="Helvetica-Bold"/>
          <w:b/>
          <w:bCs/>
        </w:rPr>
      </w:pPr>
    </w:p>
    <w:p w14:paraId="582E4939" w14:textId="77777777" w:rsidR="00D62F1B" w:rsidRDefault="00D62F1B" w:rsidP="00D62F1B">
      <w:pPr>
        <w:jc w:val="both"/>
        <w:rPr>
          <w:rFonts w:ascii="Trebuchet MS" w:hAnsi="Trebuchet MS" w:cs="Helvetica-Bold"/>
          <w:b/>
          <w:bCs/>
        </w:rPr>
      </w:pPr>
    </w:p>
    <w:p w14:paraId="02BBF05F" w14:textId="77777777" w:rsidR="00D62F1B" w:rsidRDefault="00D62F1B" w:rsidP="00D62F1B">
      <w:pPr>
        <w:jc w:val="both"/>
        <w:rPr>
          <w:rFonts w:ascii="Trebuchet MS" w:hAnsi="Trebuchet MS" w:cs="Helvetica-Bold"/>
          <w:b/>
          <w:bCs/>
        </w:rPr>
      </w:pPr>
    </w:p>
    <w:p w14:paraId="7F011CC3" w14:textId="77777777" w:rsidR="00D62F1B" w:rsidRPr="00906EBE" w:rsidRDefault="00D62F1B" w:rsidP="00D62F1B">
      <w:pPr>
        <w:autoSpaceDE w:val="0"/>
        <w:autoSpaceDN w:val="0"/>
        <w:adjustRightInd w:val="0"/>
        <w:jc w:val="center"/>
        <w:rPr>
          <w:rFonts w:ascii="Trebuchet MS" w:hAnsi="Trebuchet MS" w:cs="Times-Roman"/>
          <w:b/>
        </w:rPr>
      </w:pPr>
      <w:r w:rsidRPr="00906EBE">
        <w:rPr>
          <w:rFonts w:ascii="Trebuchet MS" w:hAnsi="Trebuchet MS" w:cs="Times-Roman"/>
          <w:b/>
        </w:rPr>
        <w:t>ANEXO</w:t>
      </w:r>
    </w:p>
    <w:p w14:paraId="68B96425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2B43C13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906EBE">
        <w:rPr>
          <w:rFonts w:ascii="Trebuchet MS" w:hAnsi="Trebuchet MS" w:cs="Helvetica-Bold"/>
          <w:b/>
          <w:bCs/>
        </w:rPr>
        <w:t>“LA EDUCACIÓN EN CONTEXTOS DE</w:t>
      </w:r>
      <w:r>
        <w:rPr>
          <w:rFonts w:ascii="Trebuchet MS" w:hAnsi="Trebuchet MS" w:cs="Helvetica-Bold"/>
          <w:b/>
          <w:bCs/>
        </w:rPr>
        <w:t xml:space="preserve"> </w:t>
      </w:r>
      <w:r w:rsidRPr="00906EBE">
        <w:rPr>
          <w:rFonts w:ascii="Trebuchet MS" w:hAnsi="Trebuchet MS" w:cs="Helvetica-Bold"/>
          <w:b/>
          <w:bCs/>
        </w:rPr>
        <w:t>PRIVACIÓN DE LA LIBERTAD EN EL</w:t>
      </w:r>
      <w:r>
        <w:rPr>
          <w:rFonts w:ascii="Trebuchet MS" w:hAnsi="Trebuchet MS" w:cs="Helvetica-Bold"/>
          <w:b/>
          <w:bCs/>
        </w:rPr>
        <w:t xml:space="preserve"> </w:t>
      </w:r>
      <w:r w:rsidRPr="00906EBE">
        <w:rPr>
          <w:rFonts w:ascii="Trebuchet MS" w:hAnsi="Trebuchet MS" w:cs="Helvetica-Bold"/>
          <w:b/>
          <w:bCs/>
        </w:rPr>
        <w:t>SISTEMA EDUCATIVO NACIONAL”</w:t>
      </w:r>
    </w:p>
    <w:p w14:paraId="6158831E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BAB06D1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DOCUMENTO BASE</w:t>
      </w:r>
    </w:p>
    <w:p w14:paraId="0B314F81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DC3B797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DICIEMBRE de 2010</w:t>
      </w:r>
    </w:p>
    <w:p w14:paraId="586710BE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04FA30A7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906EBE">
        <w:rPr>
          <w:rFonts w:ascii="Trebuchet MS" w:hAnsi="Trebuchet MS" w:cs="Helvetica-Bold"/>
          <w:b/>
          <w:bCs/>
        </w:rPr>
        <w:t>INDICE</w:t>
      </w:r>
    </w:p>
    <w:p w14:paraId="0D29322A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00763148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1. Políticas para los Contextos de Privación de la Libertad.</w:t>
      </w:r>
    </w:p>
    <w:p w14:paraId="514D373A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2. Algunos antecedentes de la modalidad.</w:t>
      </w:r>
    </w:p>
    <w:p w14:paraId="1A4C7C06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3. Caracterización de la política educativa para la modalidad.</w:t>
      </w:r>
    </w:p>
    <w:p w14:paraId="033EA9DB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4. Organización general de la Educación en Contextos de Privación de la Libertad.</w:t>
      </w:r>
    </w:p>
    <w:p w14:paraId="1606E877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5. Implementación de la política educativa de la modalidad en diferentes instituciones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privación de la libertad:</w:t>
      </w:r>
    </w:p>
    <w:p w14:paraId="2210CFA9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5.1. En unidades de detención para jóvenes y adultos.</w:t>
      </w:r>
    </w:p>
    <w:p w14:paraId="79FB5A3C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5.2. En institutos para adolescentes acusados de la comisión de delito.</w:t>
      </w:r>
    </w:p>
    <w:p w14:paraId="3AC1B9D1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5.3. En centros de tratamiento de adicciones.</w:t>
      </w:r>
    </w:p>
    <w:p w14:paraId="350250E2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6. Prioridades estratégicas para el mediano plazo:</w:t>
      </w:r>
    </w:p>
    <w:p w14:paraId="34E5AC4B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6.1. Estrategias de igualdad.</w:t>
      </w:r>
    </w:p>
    <w:p w14:paraId="6A0F89F1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6.2. Estrategias para mejorar la calidad educativa.</w:t>
      </w:r>
    </w:p>
    <w:p w14:paraId="712BD470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6.3. Estrategias para fortalecer la gestión institucional.</w:t>
      </w:r>
    </w:p>
    <w:p w14:paraId="3981D07D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7. Para finalizar.</w:t>
      </w:r>
    </w:p>
    <w:p w14:paraId="4428125E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50557A8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1. Políticas para los contextos de privación de la libertad</w:t>
      </w:r>
    </w:p>
    <w:p w14:paraId="7A49CFAC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1. Esta modalidad del sistema educativo centra su tarea en garantizar el derecho a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de todas las personas privadas de libertad para promover su formación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integral y desarrollo pleno. Incluye a quienes están involucrados en procesos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judiciales, en carácter de procesados o condenados, y se encuentran alojados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instituciones de encierro. El ejercicio del derecho a la educación no admite ningún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tipo de limitación ni discriminación relacionada con la situación de privación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libertad. El acceso al sistema educativo y a la vida cultural en condiciones dignas,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contribuyen a la inclusión social.</w:t>
      </w:r>
    </w:p>
    <w:p w14:paraId="7CB102C0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2. El propósito de este acuerdo es avanzar en la aplicación de las disposiciones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Ley N° 26.206 de Educación Nacional (LEN), de la Ley N° 26.061 de Protección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Integral de los Derechos de los Niños, Niñas y Adolescentes (LPIDNNA), del Plan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Nacional de Educación Obligatoria y de los Acuerdos Federales relacionados con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el sector, estableciendo criterios para el diseño de políticas y la elaboración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marcos regulatorios para la modalidad.</w:t>
      </w:r>
    </w:p>
    <w:p w14:paraId="2DC376F6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3. La modalidad aborda la atención educativa de las personas que se encuentran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tres tipos de instituciones diferentes: los jóvenes y adultos en unidades penales</w:t>
      </w:r>
      <w:r>
        <w:rPr>
          <w:rFonts w:ascii="Trebuchet MS" w:hAnsi="Trebuchet MS" w:cs="Helvetica"/>
        </w:rPr>
        <w:t xml:space="preserve"> </w:t>
      </w:r>
      <w:r>
        <w:rPr>
          <w:rStyle w:val="Refdenotaalpie"/>
          <w:rFonts w:ascii="Trebuchet MS" w:hAnsi="Trebuchet MS" w:cs="Helvetica"/>
        </w:rPr>
        <w:footnoteReference w:id="1"/>
      </w:r>
      <w:r w:rsidRPr="00906EBE">
        <w:rPr>
          <w:rFonts w:ascii="Trebuchet MS" w:hAnsi="Trebuchet MS" w:cs="Helvetica"/>
        </w:rPr>
        <w:t>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 xml:space="preserve">los adolescentes y jóvenes </w:t>
      </w:r>
      <w:r w:rsidRPr="00906EBE">
        <w:rPr>
          <w:rFonts w:ascii="Trebuchet MS" w:hAnsi="Trebuchet MS" w:cs="Helvetica"/>
        </w:rPr>
        <w:lastRenderedPageBreak/>
        <w:t>acusados de la comisión de delito en institutos cerrados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y los niños/as, adolescentes, jóvenes y adultos en centros de tratamiento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adicciones de régimen cerrado o de contención acentuada, y todas aquellas otras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instituciones o ámbitos donde se encuentren personas privadas de la libertad,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razón que les impide asistir a las escuelas externas.</w:t>
      </w:r>
    </w:p>
    <w:p w14:paraId="3EB794E8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4. En el marco del Plan Nacional de Educación Obligatoria, las políticas para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en los contextos de privación de la libertad representan medidas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específicas, acordes con las decisiones federales acodadas e implementadas para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el conjunto del sistema educativo, atendiendo las particularidades, necesidades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posibilidades de los grupos destinatarios de la modalidad.</w:t>
      </w:r>
    </w:p>
    <w:p w14:paraId="23D86472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3F922CED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2. Algunos antecedentes de la modalidad</w:t>
      </w:r>
    </w:p>
    <w:p w14:paraId="65D24CD2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5. La educación es un derecho inalienable consagrado por nuestra Carta Magna, sin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embargo, a lo largo del tiempo el Estado Nacional ha logrado garantizar la atención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educativa de algunas personas privadas de la libertad en diversos niveles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modalidades del sistema educativo, sin alcanzar la universalización de los niveles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educativos obligatorios.</w:t>
      </w:r>
    </w:p>
    <w:p w14:paraId="4FDA147E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6. Las necesidades educativas de las personas privadas de la libertad fueron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invisibilizadas durante muchos años aunque la Ley N° 24.660, de Ejecución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Pena Privativa de la Libertad, obligaba al estado a brindar educación en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establecimientos penitenciarios. Durante este período las ofertas educativas eran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casi exclusivamente de nivel primario, con una cobertura muy escasa y, en el caso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las cárceles dependientes del Servicio Penitenciario Federal, las clases estaban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 cargo de agentes penitenciarios. Con anterioridad al 2006, el Ministerio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de la Nación creó un programa nacional específico que se ocupó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de las personas privadas de la libertad, a través del trabajo articulado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entre los gobiernos de la educación y de la justicia. Con la sanción de la LEN se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reconoce a la Educación en Contextos de Privación de la Libertad como una de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modalidades del Sistema Educativo Nacional.</w:t>
      </w:r>
    </w:p>
    <w:p w14:paraId="7C50F771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7. La atención educativa en estos contextos se caracteriza por presentar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siguientes problemáticas con diferente grado de acentuación de acuerdo a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jurisdicciones:</w:t>
      </w:r>
    </w:p>
    <w:p w14:paraId="4931A9CE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Insuficiente cobertura de los niveles obligatorios.</w:t>
      </w:r>
    </w:p>
    <w:p w14:paraId="114C1224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Falta de información a los destinatarios sobre las ofertas educativas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disponibles.</w:t>
      </w:r>
    </w:p>
    <w:p w14:paraId="2E609B70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Plantas orgánico funcionales incompletas.</w:t>
      </w:r>
    </w:p>
    <w:p w14:paraId="4B37DF8B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Infraestructura inadecuada e insuficiente.</w:t>
      </w:r>
    </w:p>
    <w:p w14:paraId="3987B8C1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Escasa capacitación y actualización de los docentes y precariedad en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condiciones en que desarrollan su trabajo.</w:t>
      </w:r>
    </w:p>
    <w:p w14:paraId="26C7951D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Obstáculos y dificultades para el desarrollo de la tarea educativa por parte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los servicios de seguridad.</w:t>
      </w:r>
    </w:p>
    <w:p w14:paraId="51B03A92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Dificultades para que los estudiantes de carreras de nivel superior puedan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realizar sus prácticas, residencia o trabajos de campo.</w:t>
      </w:r>
    </w:p>
    <w:p w14:paraId="70C3E65A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Limitaciones en los vínculos de las escuelas con la sociedad externa y sus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instituciones intermedias.</w:t>
      </w:r>
    </w:p>
    <w:p w14:paraId="2668F971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Escasos equipos provinciales para la gestión de la modalidad.</w:t>
      </w:r>
    </w:p>
    <w:p w14:paraId="24362983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lastRenderedPageBreak/>
        <w:t xml:space="preserve">• </w:t>
      </w:r>
      <w:r w:rsidRPr="00906EBE">
        <w:rPr>
          <w:rFonts w:ascii="Trebuchet MS" w:hAnsi="Trebuchet MS" w:cs="Helvetica"/>
        </w:rPr>
        <w:t>Débiles articulaciones intersectoriales, interjurisdiccionales e intraministeriales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en diversos niveles de la gestión.</w:t>
      </w:r>
    </w:p>
    <w:p w14:paraId="4CE348AD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4667F6A1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3. Caracterización de la política educativa para la modalidad</w:t>
      </w:r>
    </w:p>
    <w:p w14:paraId="1D6D59E7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8. Son objetivos de la modalidad:</w:t>
      </w:r>
    </w:p>
    <w:p w14:paraId="071EBD7A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a) Garantizar el cumplimiento de los niveles obligatorios de la escolaridad a todas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las personas privadas de libertad.</w:t>
      </w:r>
    </w:p>
    <w:p w14:paraId="41579A88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b) Ofrecer formación técnico profesional dependiente y certificada por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ministerios de educación de las jurisdicciones, en articulación con las propuestas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educativas de los niveles obligatorios.</w:t>
      </w:r>
    </w:p>
    <w:p w14:paraId="58D0297F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c) Favorecer el acceso, permanencia y promoción en la Educación Superior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habilitar sistemas gratuitos de educación semipresencial y/o no presencial.</w:t>
      </w:r>
    </w:p>
    <w:p w14:paraId="44D4E206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d) Asegurar alternativas de educación no formal y generar condiciones que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permitan concretar iniciativas educativas formuladas por sus destinatarios.</w:t>
      </w:r>
    </w:p>
    <w:p w14:paraId="35EFE7CE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e) Desarrollar propuestas destinadas a estimular la creación artística y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participación en diferentes manifestaciones culturales, así como en actividades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física y deportiva articuladas con la educación formal.</w:t>
      </w:r>
    </w:p>
    <w:p w14:paraId="4F9CABB1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f) Brindar información permanente sobre las ofertas educativas y culturales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existentes.</w:t>
      </w:r>
    </w:p>
    <w:p w14:paraId="487387AE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9. El primer desafío es dar cumplimiento a la LEN, concibiendo a la educación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contextos de privación de la libertad como una de las modalidades del sistema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educativo, con carácter transversal a los niveles y en articulación con las otras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modalidades. Este proceso se realizará respetando el tiempo y modo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resolución que adopte cada jurisdicción, en un plazo máximo de DOS (2) años 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partir de la fecha.</w:t>
      </w:r>
    </w:p>
    <w:p w14:paraId="13290B0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10. En todas las unidades de detención del país las ofertas educativas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correspondientes a los niveles obligatorios dependerán de los sistemas educativos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provinciales y/o de la CABA. La modalidad articulará transversalmente al interior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Ministerios de Educación: con todos los niveles (inicial, primario, secundario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superior), con otras modalidades (Educación Permanente de Jóvenes y Adultos,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Técnico Profesional, Educación Artística, Educación Intercultural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Bilingüe y Educación Especial), con la Educación No Formal, con programas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específicos, con otras direcciones o áreas existentes. Trabajará de modo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intersectorial con los ministerios que administran las instituciones de seguridad.</w:t>
      </w:r>
    </w:p>
    <w:p w14:paraId="28981BAD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11. La incorporación en la estructura del gobierno educativo jurisdiccional de un nivel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decisión especialmente orientado a definir las políticas para los contextos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encierro, con asignaciones presupuestarias específicas, permitirá que la modalidad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avance en el logro de sus objetivos y la superación de los obstáculos. Cada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provincia y la Ciudad Autónoma de Buenos Aires (CABA) establecerá la forma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organización más adecuada a su sistema (dirección, subdirección, área,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departamento, coordinación, etc.) y designará a un funcionario como responsable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la modalidad y referente jurisdiccional con funciones que incluyan: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representación de la jurisdicción en distintos actividades (internacionales,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nacionales, regionales o bilaterales), la interlocución con mandato para la toma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decisiones relacionadas con la política educativa de la modalidad, la gestión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acciones de articulación intersectorial con otros ministerios, áreas, programas u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lastRenderedPageBreak/>
        <w:t>organizaciones estatales o privadas, entre otras. En un plazo máximo de DOS (2)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años las jurisdicciones deberán determinar la conducción de la modalidad al interior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su respectiva estructura ministerial.</w:t>
      </w:r>
    </w:p>
    <w:p w14:paraId="6E6A8E6B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12. Para garantizar efectivamente el ejercicio del derecho a más y mejor educación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para todas las personas privadas de libertad y en cumplimiento de la LEN,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modalidad estará incorporada de manera permanente en las agendas educativas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los ministerios de educación de la Nación, de las provincias y de la CABA,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modo trasversal a todos los niveles y modalidades. Así se logrará su visibilidad 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integración al sistema educativo de acuerdo con la normativa vigente.</w:t>
      </w:r>
    </w:p>
    <w:p w14:paraId="08E67F28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13. Se articulará con todos los actores institucionales que tengan participación en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contextos de encierro para lograr consensos, coordinar acciones, implementar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proyectos educativos y culturales, optimizar el uso de los recursos, superar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obstáculos y comprometerlos en el logro los objetivos de la modalidad.</w:t>
      </w:r>
    </w:p>
    <w:p w14:paraId="0DA8E4BF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14. La articulación, a partir de un trabajo conjunto que respete las identidades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específicas, adoptará los siguientes formatos:</w:t>
      </w:r>
    </w:p>
    <w:p w14:paraId="235C243E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Articulación interjurisdiccional: la nación y las provincias y la CABA;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provincias y municipios, entre otros.</w:t>
      </w:r>
    </w:p>
    <w:p w14:paraId="20E7227C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Articulación intersectorial: educación y otros ministerios como el de justicia 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su equivalente, seguridad, trabajo, desarrollo social y salud.</w:t>
      </w:r>
    </w:p>
    <w:p w14:paraId="5E22BF38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Articulación intraministerial: con todos los niveles, modalidades, áreas,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programas, proyectos y planes.</w:t>
      </w:r>
    </w:p>
    <w:p w14:paraId="760EAED1" w14:textId="77777777" w:rsidR="00D62F1B" w:rsidRPr="00906EBE" w:rsidRDefault="00D62F1B" w:rsidP="00D62F1B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Symbol"/>
        </w:rPr>
        <w:t xml:space="preserve">• </w:t>
      </w:r>
      <w:r w:rsidRPr="00906EBE">
        <w:rPr>
          <w:rFonts w:ascii="Trebuchet MS" w:hAnsi="Trebuchet MS" w:cs="Helvetica"/>
        </w:rPr>
        <w:t>Articulación con otros actores institucionales, asociaciones de la sociedad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civil, organismos internacionales, entre otros.</w:t>
      </w:r>
    </w:p>
    <w:p w14:paraId="2C558236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15. La articulación reconoce tres niveles de decisión: el nacional, el jurisdiccional y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institucional.</w:t>
      </w:r>
    </w:p>
    <w:p w14:paraId="677115E0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 xml:space="preserve">16. En el </w:t>
      </w:r>
      <w:r w:rsidRPr="00906EBE">
        <w:rPr>
          <w:rFonts w:ascii="Trebuchet MS" w:hAnsi="Trebuchet MS" w:cs="Helvetica-Oblique"/>
          <w:i/>
          <w:iCs/>
        </w:rPr>
        <w:t xml:space="preserve">nivel nacional: </w:t>
      </w:r>
      <w:r w:rsidRPr="00906EBE">
        <w:rPr>
          <w:rFonts w:ascii="Trebuchet MS" w:hAnsi="Trebuchet MS" w:cs="Helvetica"/>
        </w:rPr>
        <w:t>el Estado Nacional y los estados provinciales y la CABA,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consensúan criterios, logran acuerdos, articulan estrategias políticas y diseñan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líneas de acción comunes, para otorgar homogeneidad en el sistema.</w:t>
      </w:r>
    </w:p>
    <w:p w14:paraId="78611E6B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 xml:space="preserve">17. En el </w:t>
      </w:r>
      <w:r w:rsidRPr="00906EBE">
        <w:rPr>
          <w:rFonts w:ascii="Trebuchet MS" w:hAnsi="Trebuchet MS" w:cs="Helvetica-Oblique"/>
          <w:i/>
          <w:iCs/>
        </w:rPr>
        <w:t>nivel jurisdiccional</w:t>
      </w:r>
      <w:r w:rsidRPr="00906EBE">
        <w:rPr>
          <w:rFonts w:ascii="Trebuchet MS" w:hAnsi="Trebuchet MS" w:cs="Helvetica"/>
        </w:rPr>
        <w:t>: en el marco de los acuerdos federales, cada provincia y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CABA administran sus sistemas educativos y disponen los medios que garantizan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 atención educativa de todos los destinatarios de la modalidad.</w:t>
      </w:r>
    </w:p>
    <w:p w14:paraId="40D8EC3A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 xml:space="preserve">18. En el </w:t>
      </w:r>
      <w:r w:rsidRPr="00906EBE">
        <w:rPr>
          <w:rFonts w:ascii="Trebuchet MS" w:hAnsi="Trebuchet MS" w:cs="Helvetica-Oblique"/>
          <w:i/>
          <w:iCs/>
        </w:rPr>
        <w:t xml:space="preserve">nivel institucional: </w:t>
      </w:r>
      <w:r w:rsidRPr="00906EBE">
        <w:rPr>
          <w:rFonts w:ascii="Trebuchet MS" w:hAnsi="Trebuchet MS" w:cs="Helvetica"/>
        </w:rPr>
        <w:t>los centros educativos con sus directivos, docentes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alumnos, implementan las disposiciones jurisdiccionales de acuerdo con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normativa local y nacional, adaptando las propuestas a la realidad y características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cada institución y de sus destinatarios.</w:t>
      </w:r>
    </w:p>
    <w:p w14:paraId="5CEB4290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19. La suscripción de convenios de cooperación educativa es una práctica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complementaria a la articulación, que formaliza jurídicamente el cumplimiento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compromisos asumidos por las partes. Los convenios firmados entre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Ministerios de Educación y otros organismos gubernamentales nacionales,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jurisdiccionales y municipales, otorgan sustentabilidad a los acuerdos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intersectoriales suscriptos entre organismos estatales (Ministerios de Justicia,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Desarrollo Social, de Salud, de Trabajo, universidades, entre otros) o con entes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privados (asociaciones de la sociedad civil, por ejemplo). Los convenios se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complementarán a través de la firma de un protocolo específico por cada uno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temas incorporados en el convenio.</w:t>
      </w:r>
    </w:p>
    <w:p w14:paraId="486571D1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lastRenderedPageBreak/>
        <w:t>20. La conformación de Mesas de Trabajo Intersectorial deberán comenzar a funcionar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dentro de un plazo no mayor a SEIS (6) meses y estarán integradas por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representantes de los Ministerios de Educación, Justicia y otros organismos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intervinientes. Estos son espacios de trabajo emergentes de la firma de convenios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para la planificación y la coordinación de estrategias tendientes al logro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universalización de la oferta y los objetivos de la modalidad. Las Mesas de Trabajo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Intersectorial funcionarán en los ámbitos nacional, provincial e institucional. Estas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últimas son imprescindibles como último nivel de implementación de las políticas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públicas para la modalidad consistente en la adaptación de las normas generales 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las necesidades, problemáticas y realidad específicas de cada lugar.</w:t>
      </w:r>
    </w:p>
    <w:p w14:paraId="76CC4127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21. Los sistemas educativos jurisdiccionales son responsables de la gestión de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escuelas y de elaborar, en tiempo y forma, toda la documentación relacionada con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estudios cursados intramuros, sin identificación de esta característica para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evitar cualquier tipo de discriminación o de estigmatización.</w:t>
      </w:r>
    </w:p>
    <w:p w14:paraId="14EC7A65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22. Las autoridades educativas jurisdiccionales como responsables de la gestión de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diferentes niveles y modalidades, arbitrarán los mecanismos necesarios para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acompañamiento pedagógico y la orientación de los estudiantes mientras cursan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estudios en las escuelas que funcionan en las instituciones de encierro. También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generarán condiciones e implementarán circuitos que garanticen la continuidad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educativa cuando se producen traslados de una institución penitenciaria a otra,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 misma jurisdicción o en una diferente y cuando los estudiantes decidan continuar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sus estudios fuera del contexto de privación de libertad.</w:t>
      </w:r>
    </w:p>
    <w:p w14:paraId="4F2026AB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1F784DE2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65508FD2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4. Organización general de la educación en contextos de privación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>de la libertad.</w:t>
      </w:r>
    </w:p>
    <w:p w14:paraId="5EAA5862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23. La educación es un derecho inalienable de las personas consagrado por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Constitución Nacional y el Estado es el garante de brindar las condiciones para que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su ejercicio sea efectivo para todos. El Ministerio de Educación y el Ministerio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Justicia, Seguridad y Derechos Humanos de la Nación, así como sus pares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provinciales, promoverán la revisión de una concepción de la educación, extendida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en los organismos de seguridad, cuando la consideran como parte del tratamiento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penitenciario o un beneficio que puede ser otorgado discrecionalmente.</w:t>
      </w:r>
    </w:p>
    <w:p w14:paraId="480D936C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24. Los docentes que desarrollan sus tareas en escuelas en las instituciones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seguridad dependerán de los sistemas educativos provinciales y de la CABA.</w:t>
      </w:r>
    </w:p>
    <w:p w14:paraId="4BDD7EAF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25. Los docentes y los agentes de seguridad poseen roles diferentes y perfiles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profesionales socialmente identificados como incompatibles. Por ello, no podrán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aspirar a cargos docentes provinciales y de la CABA quienes posean cualquier tipo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dependencia o función en instituciones de seguridad.</w:t>
      </w:r>
    </w:p>
    <w:p w14:paraId="0B51E15C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26. La vida cotidiana de las escuelas en contextos de encierro se organizará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acuerdo a la normativa nacional y jurisdiccional, para cada nivel y modalidad,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pudiéndose elaborar normas específicas para el contexto.</w:t>
      </w:r>
    </w:p>
    <w:p w14:paraId="5F3F3B78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27. Los organismos nacionales o provinciales propietarios de los inmuebles o a cargo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la administración de la seguridad, garantizarán la existencia de infraestructura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edilicia con espacios suficientes en condiciones de mantenimiento adecuadas y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 xml:space="preserve">óptimas condiciones de salubridad, así </w:t>
      </w:r>
      <w:r w:rsidRPr="00906EBE">
        <w:rPr>
          <w:rFonts w:ascii="Trebuchet MS" w:hAnsi="Trebuchet MS" w:cs="Helvetica"/>
        </w:rPr>
        <w:lastRenderedPageBreak/>
        <w:t>como el equipamiento y mobiliario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específico, para que los docentes y los alumnos de las escuelas que dependen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ministerios de educación puedan desarrollar sus tareas apropiadamente.</w:t>
      </w:r>
    </w:p>
    <w:p w14:paraId="17D95B8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28. Los sistemas educativos provinciales y de la CABA incluirán en sus presupuestos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las partidas necesarias para la designación de los cargos de conducción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docentes en cantidad suficiente para la atención de toda la matrícula potencial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niveles obligatorios, respetando la normativa nacional, los acuerdos federales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las pautas vigentes en las provincias y en la CABA.</w:t>
      </w:r>
    </w:p>
    <w:p w14:paraId="0898802B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29. Los ministerios de educación contribuirán al mejoramiento de las condiciones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materiales en que se desarrollan las acciones educativas de acuerdo a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necesidades jurisdiccionales para el contexto y a los recursos disponibles.</w:t>
      </w:r>
    </w:p>
    <w:p w14:paraId="5D79A15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30. Las ofertas educativas de los niveles obligatorios serán las mismas que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existentes extramuros, podrán realizar adecuaciones relacionadas con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especificidad del contexto, deberán garantizar la calidad educativa y la continuidad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los estudios en escuelas externas.</w:t>
      </w:r>
    </w:p>
    <w:p w14:paraId="1E2FC83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31. Dado que los destinatarios de la modalidad se definen por el contexto, las ofertas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educativas corresponderán al nivel al que deban asistir los estudiantes según su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edad. Por ello, en aquellos casos donde subsisten ofertas de nivel primario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dependientes de Educación Especial o de otra modalidad, esta situación ha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resolverse a la brevedad de acuerdo a los términos de la LEN y a las formas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organizativas que determine la conducción de la modalidad en los respectivos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ministerios provinciales.</w:t>
      </w:r>
    </w:p>
    <w:p w14:paraId="2A20F3F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32. La presencialidad es el modo pedagógico más adecuado para el cursado de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niveles obligatorios, aunque se pueda admitir la existencia de ofertas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semipresenciales para adultos y para el nivel superior, con validez nacional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acuerdo a la normativa federal.</w:t>
      </w:r>
    </w:p>
    <w:p w14:paraId="4D3C52F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33. Los estudios realizados quedarán documentados en los registros escolares y se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emitirán constancias y/o certificaciones oficiales que no identifiquen el contexto,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acuerdo a lo establecido por la Resolución CFE N° 103 del año 2010, según se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trate de tramos escolares de tipo formal, no formal, cursos de formación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profesional, de formación para el trabajo o la acreditación de saberes previamente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adquiridos, si existiera en la jurisdicción normativa al respecto.</w:t>
      </w:r>
    </w:p>
    <w:p w14:paraId="1E4716A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34. Los alumnos podrán ingresar en cualquier momento del año escolar, más allá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calendarios que regulan la educación extramuros. Ante la situación de traslado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 xml:space="preserve">se arbitrarán mecanismos </w:t>
      </w:r>
      <w:r w:rsidRPr="00906EBE">
        <w:rPr>
          <w:rFonts w:ascii="Trebuchet MS" w:hAnsi="Trebuchet MS" w:cs="Helvetica-Oblique"/>
          <w:i/>
          <w:iCs/>
        </w:rPr>
        <w:t xml:space="preserve">ad hoc </w:t>
      </w:r>
      <w:r w:rsidRPr="00906EBE">
        <w:rPr>
          <w:rFonts w:ascii="Trebuchet MS" w:hAnsi="Trebuchet MS" w:cs="Helvetica"/>
        </w:rPr>
        <w:t>que garanticen la posibilidad de iniciar 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continuar los estudios, según corresponda.</w:t>
      </w:r>
    </w:p>
    <w:p w14:paraId="283D17D4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35. Se propiciará la creación de órganos de participación estudiantil ya que constituyen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políticas educativas tendientes a la generación de experiencias significativas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formación ciudadana.</w:t>
      </w:r>
    </w:p>
    <w:p w14:paraId="4AC7EFF7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36. La biblioteca escolar posee un valor de gran relevancia, por lo cual, se dispondrá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un lugar adecuado para su funcionamiento; los proyectos que en ella se originen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se incluirán en el proyecto educativo institucional; se promoverá el uso de sus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materiales y la participación en sus propuestas de todos los detenidos sean o no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alumnos. Se preverá la asignación de cargos de bibliotecarios.</w:t>
      </w:r>
    </w:p>
    <w:p w14:paraId="734DA94C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37. La formación para el trabajo con sus diferentes variantes (formación profesional,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no formal, etc.) son propuestas pedagógicas reguladas por la normativa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específica, Ley de Educación Técnico Profesional N° 26.058 y Acuerdos Federales,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por lo cual nada tiene en común con los talleres productivos dependientes de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 xml:space="preserve">organismos de seguridad, considerados como dispositivos de </w:t>
      </w:r>
      <w:r w:rsidRPr="00906EBE">
        <w:rPr>
          <w:rFonts w:ascii="Trebuchet MS" w:hAnsi="Trebuchet MS" w:cs="Helvetica-Oblique"/>
          <w:i/>
          <w:iCs/>
        </w:rPr>
        <w:t>tratamiento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-Oblique"/>
          <w:i/>
          <w:iCs/>
        </w:rPr>
        <w:t>penitenciario</w:t>
      </w:r>
      <w:r w:rsidRPr="00906EBE">
        <w:rPr>
          <w:rFonts w:ascii="Trebuchet MS" w:hAnsi="Trebuchet MS" w:cs="Helvetica"/>
        </w:rPr>
        <w:t>. Por lo tanto, el destino de los bienes producidos en las propuestas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para el trabajo es una decisión exclusiva de los alumnos que los han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generado y las autoridades educativas han de asegurar que esto se efectivice.</w:t>
      </w:r>
    </w:p>
    <w:p w14:paraId="0564CF42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lastRenderedPageBreak/>
        <w:t>38. El derecho al acceso a la educación también alcanza a los trabajadores del ámbito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la seguridad. Por tal motivo, las provincias y la CABA les ofrecerán información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para que puedan participar en las ofertas educativas de diversos niveles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Modalidad de Educación de Jóvenes y Adultos extramuros. Se ofrecerán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propuestas de capacitación relacionadas con la formación en ciudadanía y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derechos humanos.</w:t>
      </w:r>
    </w:p>
    <w:p w14:paraId="076FDA31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69123AA7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5. Implementación de la política educativa de la modalidad en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>diferentes instituciones de privación de la libertad.</w:t>
      </w:r>
    </w:p>
    <w:p w14:paraId="7B6102FD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39. La modalidad comprende instituciones educativas localizadas en las cárceles,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institutos que alojan a adolescentes y jóvenes acusados de la comisión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delito, en los centros de tratamiento de adicciones y en todas aquellas instituciones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o ámbitos donde se encuentren personas privadas de la libertad, razón que les</w:t>
      </w:r>
    </w:p>
    <w:p w14:paraId="53BC9A72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impide asistir a las escuelas externas.</w:t>
      </w:r>
    </w:p>
    <w:p w14:paraId="057DEF0B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4B48347D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-Bold"/>
          <w:b/>
          <w:bCs/>
        </w:rPr>
      </w:pPr>
      <w:r w:rsidRPr="00906EBE">
        <w:rPr>
          <w:rFonts w:ascii="Trebuchet MS" w:hAnsi="Trebuchet MS" w:cs="Helvetica-Bold"/>
          <w:b/>
          <w:bCs/>
        </w:rPr>
        <w:t xml:space="preserve">5.1. </w:t>
      </w:r>
      <w:r w:rsidRPr="00906EBE">
        <w:rPr>
          <w:rFonts w:ascii="Trebuchet MS" w:hAnsi="Trebuchet MS" w:cs="Helvetica-BoldOblique"/>
          <w:b/>
          <w:bCs/>
          <w:i/>
          <w:iCs/>
        </w:rPr>
        <w:t>En las unidades de detención para jóvenes y adultos</w:t>
      </w:r>
      <w:r w:rsidRPr="00906EBE">
        <w:rPr>
          <w:rFonts w:ascii="Trebuchet MS" w:hAnsi="Trebuchet MS" w:cs="Helvetica-Bold"/>
          <w:b/>
          <w:bCs/>
        </w:rPr>
        <w:t>.</w:t>
      </w:r>
    </w:p>
    <w:p w14:paraId="2C1281CB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40. Este contexto institucional incluye todas las cárceles: federales y provinciales,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todos los tipos y niveles de seguridad, de varones y de mujeres, etc. La población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destinataria de la atención educativa comprende a todos los detenidos, procesados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y condenados, mujeres y varones, niños que viven con sus madres detenidas,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afectados a medidas de baja, media y alta seguridad, argentinos y extranjeros</w:t>
      </w:r>
      <w:r>
        <w:rPr>
          <w:rStyle w:val="Refdenotaalpie"/>
          <w:rFonts w:ascii="Trebuchet MS" w:hAnsi="Trebuchet MS" w:cs="Helvetica"/>
        </w:rPr>
        <w:footnoteReference w:id="2"/>
      </w:r>
      <w:r w:rsidRPr="00906EBE">
        <w:rPr>
          <w:rFonts w:ascii="Trebuchet MS" w:hAnsi="Trebuchet MS" w:cs="Helvetica"/>
        </w:rPr>
        <w:t>.</w:t>
      </w:r>
    </w:p>
    <w:p w14:paraId="5D0A0F2D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Con la finalidad de facilitar el ejercicio del derecho a la educación a todos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detenidos de todas las unidades penitenciarias en los niveles obligatorios, se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incentivará el desarrollo de programas nacionales y/o provinciales de alfabetización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que habilitan el ingreso a la educación primaria y se priorizará la aplicación del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formato organizativo de alfabetización entre pares.</w:t>
      </w:r>
    </w:p>
    <w:p w14:paraId="65F527A8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41. El grupo de niños/as de 45 días a 4 años de edad que viven en cárceles porque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sus madres se encuentran detenidas tienen derecho a participar en las propuestas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educativas correspondientes al nivel inicial. Por ello, se allanarán los obstáculos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que impidan su inclusión en instituciones escolares de nivel inicial externas a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institución de seguridad. Estos niños/as ven afectados sus procesos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socialización y maduración por la condición de encierro que padecen cotidiana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permanentemente. Esta es una fuerte razón por la cual es imprescindible que sean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incluidos en escuelas de nivel inicial externas, ya que además de preservar su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salud psicofísica, reafirma la igualdad, la no discriminación y genera condiciones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favorables para el desarrollo de sus potencialidades. Las autoridades educativas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provinciales y de la CABA asegurarán la disponibilidad de vacantes y todos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servicios necesarios para su efectivización, incluyendo el transporte. Será prevista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 preparación de las madres de estos niños/as, así como de los directivos,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docentes y familias de la escuela receptora, todo ello con la finalidad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prepararlos para que la experiencia de su inclusión sea positiva y se eviten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situaciones de segregación, aislamiento o exclusión. Se promoverán también otras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actividades educativas y/o recreativas complementarias dentro y fuera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institución de seguridad.</w:t>
      </w:r>
    </w:p>
    <w:p w14:paraId="08FF50F8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lastRenderedPageBreak/>
        <w:t>42. Las autoridades educativas nacionales, provinciales y/o de la CABA, según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corresponda, han de garantizar que los niños que viven con sus madres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condición de prisión domiciliaria asistan a la escuela según la edad y trayectoria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escolar que les corresponda facilitando los medios para que lo puedan realizar.</w:t>
      </w:r>
    </w:p>
    <w:p w14:paraId="45D1F40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43. Las ofertas de educación obligatoria serán presenciales para los niños y jóvenes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hasta los 18 años. Los Ministerios de Educación provinciales o de la CABA tendrán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 su cargo las escuelas correspondientes, su supervisión, la provisión de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cargos docentes en la cantidad necesaria para llegar a la universalización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cobertura, el desarrollo curricular correspondiente a las escuelas externas (para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garantizar la continuidad de los estudios en el momento de recuperación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libertad) y de los regímenes vigentes para la organización escolar, así como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provisión de los materiales escolares para el desarrollo de las clases. El organismo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estatal responsable de la seguridad garantizará infraestructura edilicia adecuada 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 matrícula y la asistencia cotidiana de los alumnos. El Ministerio de Educación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 Nación asistirá con diversos recursos a las escuelas, a las bibliotecas escolares,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y a los equipos docentes y técnicos provinciales y de la CABA.</w:t>
      </w:r>
    </w:p>
    <w:p w14:paraId="228B0097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44. Para propiciar el incremento de las ofertas educativas de nivel superior y/o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universitario la modalidad en el ámbito provincial articulará con las universidades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y/o los institutos superiores, con su par nacional y con el área responsable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seguridad. Para la selección de las carreras se tendrán en cuenta las demandas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preferencias de los estudiantes destinatarios.</w:t>
      </w:r>
    </w:p>
    <w:p w14:paraId="49A2711A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45. Para la implementación de ofertas de educación para el trabajo, la modalidad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en contextos de privación de la libertad de la provincia articulará con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Modalidad Educación Técnico Profesional provincial, de acuerdo a la normativa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vigente. Proveerá los insumos necesarios para el desarrollo de los talleres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decidirá en torno a la ampliación y/o renovación de las ofertas específicas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dependientes de los Ministerios de Educación provinciales y de la CABA.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propuestas educativas no deben superponerse entre sí ni con los talleres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productivos remunerados dependientes de seguridad, para que todos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potenciales alumnos puedan comenzar, cursar y finalizar sus estudios, en especial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de los niveles educativos obligatorios. Se gestionarán intersectorialmente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espacios físicos necesarios.</w:t>
      </w:r>
    </w:p>
    <w:p w14:paraId="77D9E0E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46. Las acciones educativas artísticas y culturales se articularán con las ofertas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Modalidad Educación Artística de acuerdo a la normativa vigente en cada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jurisdicción y con instituciones estatales y privadas. Esta iniciativa permitirá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multiplicar los proyectos del área originados en la escuela y en la biblioteca escolar.</w:t>
      </w:r>
    </w:p>
    <w:p w14:paraId="7C955AA0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Se dispondrán mecanismos organizativos que eviten la superposición de horarios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faciliten la amplia participación de alumnos y otros detenidos.</w:t>
      </w:r>
    </w:p>
    <w:p w14:paraId="08C29734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2C2F48BC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5.2. En institutos para adolescentes y jóvenes acusados de la comisión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>de delito.</w:t>
      </w:r>
    </w:p>
    <w:p w14:paraId="2D061988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47. Las autoridades educativas de la modalidad trabajarán para lograr la atención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educativa de todos los adolescentes y jóvenes acusados de la comisión de delito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alojados en institutos de régimen cerrado o en espacios similares. Quienes viven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en instituciones abiertas o semiabiertas deberán asistir a escuelas externas 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inscribir todas sus acciones en los términos establecidos por la Ley N° 26.061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Protección Integral de los Derechos de los Niños, Niñas y Adolescentes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(LPIDNNA).</w:t>
      </w:r>
    </w:p>
    <w:p w14:paraId="5E0E49F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48. Con la finalidad de facilitar el ejercicio del derecho a la educación obligatoria se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aplicarán programas nacionales y/o provinciales de alfabetización que habiliten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ingreso a la educación primaria, para los mayores de 14 años que no hayan sido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alfabetizados.</w:t>
      </w:r>
    </w:p>
    <w:p w14:paraId="6537DD6C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lastRenderedPageBreak/>
        <w:t>49. En todos los institutos funcionarán escuelas primarias y secundarias.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Ministerios de Educación provinciales o de la CABA tendrán a su cargo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escuelas, su supervisión, la provisión de los cargos docentes en la cantidad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necesaria para llegar a la universalización de la cobertura, el desarrollo curricular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las escuelas externas (para garantizar la continuidad de los estudios en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momento de recuperación de la libertad) y de los regímenes vigentes para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organización escolar, así como la provisión de los materiales escolares para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desarrollo de las clases. Los organismos de quienes dependen los institutos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garantizarán la infraestructura edilicia adecuada a la matrícula y la asistencia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cotidiana de todos los alumnos. El Ministerio de Educación de la Nación asistirá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 diversos recursos a las escuelas, a las bibliotecas escolares, y a los equipos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docentes y técnicos provinciales y de la CABA.</w:t>
      </w:r>
    </w:p>
    <w:p w14:paraId="2B365286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50. La implementación de ofertas de educación para el trabajo tendrá en cuenta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edad de los alumnos, la normativa vigente y articularán con la modalidad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Técnico Profesional provincial. Las propuestas de educación obligatoria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no se han de superponer con las de formación para el trabajo, si las hubiere y se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proveerán los insumos necesarios para el desarrollo de los las actividades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correspondientes.</w:t>
      </w:r>
    </w:p>
    <w:p w14:paraId="5E08B3CC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51. Las acciones educativas de tipo artístico y cultural se articularán con la Modalidad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Artística de acuerdo a la normativa vigente y con instituciones estatales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y privadas del ámbito. Esta iniciativa permitirá multiplicar los proyectos del área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originados en la escuela y en la biblioteca escolar. Se dispondrán mecanismos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organizativos que eviten la superposición de horarios y faciliten la amplia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participación de alumnos y de otros adolescentes y jóvenes.</w:t>
      </w:r>
    </w:p>
    <w:p w14:paraId="0EE68024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3BCE8F30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5.3. En centros de tratamiento de adicciones</w:t>
      </w:r>
    </w:p>
    <w:p w14:paraId="7E58016C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52. Se trata de las instituciones en las cuales se realiza el tratamiento de adicciones,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cuyo régimen de funcionamiento es cerrado o de contención acentuada, estatales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privados con convenios con diversos organismos estatales, y los centros con otro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tipo de régimen que reciben personas con orden de no salida por parte de un Juez.</w:t>
      </w:r>
    </w:p>
    <w:p w14:paraId="113B760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La población destinataria en estos centros comprende a niños y niñas,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adolescentes, jóvenes y adultos.</w:t>
      </w:r>
    </w:p>
    <w:p w14:paraId="312BFD07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53. Con la finalidad de facilitar el ejercicio del derecho a la educación obligatoria se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aplicarán programas nacionales y/o provinciales de alfabetización que habiliten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ingreso a la educación primaria de las personas mayores de 14 años que no hayan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sido alfabetizadas.</w:t>
      </w:r>
    </w:p>
    <w:p w14:paraId="7F96D380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54. En todos los centros, estatales o privados con convenios con el estado,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funcionarán ofertas educativas de los niveles obligatorios dependientes de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ministerios de educación provinciales y de la CABA, con propuestas educativas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acuerdo a la edad de los alumnos, según lo estipulan los acuerdos federales.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ofertas de educación obligatoria serán presenciales. Los Ministerios de Educación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provinciales y de la CABA tendrán a su cargo las ofertas educativas, su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supervisión, la provisión de los cargos docentes en la cantidad necesaria para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llegar a la universalización de la cobertura, el desarrollo curricular y la provisión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los materiales escolares para el desarrollo de las clases. Las entidades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jurídicamente responsables de los centros garantizarán la infraestructura edilicia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adecuada a la matrícula y la asistencia cotidiana de todos los alumnos.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Ministerio de Educación de la Nación asistirá con diversos recursos.</w:t>
      </w:r>
    </w:p>
    <w:p w14:paraId="583CCD2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lastRenderedPageBreak/>
        <w:t>55. Las autoridades educativas jurisdiccionales garantizarán la continuidad de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estudios cuando los jueces dispongan la externación de las personas que cumplen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su escolarización en centros de la modalidad.</w:t>
      </w:r>
    </w:p>
    <w:p w14:paraId="2F977AE2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56. La educación formal se complementará con propuestas de formación para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trabajo dependientes de los Ministerios de Educación, con un enfoque pedagógico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y no de laborterapia, sin superponer sus horarios y proveyendo los insumos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necesarios para su desarrollo. La implementación de ofertas de educación para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trabajo tendrá en cuenta la edad de los alumnos, se articularán con la Modalidad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Técnico Profesional provincial y se ajustará a la normativa vigente.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acciones educativas de tipo artístico y cultural se articularán con la Modalidad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Educación Artística.</w:t>
      </w:r>
    </w:p>
    <w:p w14:paraId="6151F389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1FF8BAE5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6. Prioridades estratégicas para el mediano plazo</w:t>
      </w:r>
    </w:p>
    <w:p w14:paraId="24269ACA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57. Las políticas públicas tendientes al cumplimiento de las prescripciones de la LEN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para la modalidad plantean en torno a tres ejes estratégicos:</w:t>
      </w:r>
    </w:p>
    <w:p w14:paraId="780D08AD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2712D820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6.1. Estrategias de igualdad</w:t>
      </w:r>
    </w:p>
    <w:p w14:paraId="18FA0018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58. Universalización de la atención educativa de los niños a partir de los 45 días que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viven con sus madres detenidas en cárceles, en espacios similares y en situación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procesal de prisión domiciliaria.</w:t>
      </w:r>
    </w:p>
    <w:p w14:paraId="49E2629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59. Universalización de las ofertas de educación obligatoria: niveles primario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secundario.</w:t>
      </w:r>
    </w:p>
    <w:p w14:paraId="0CED652C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60. Generación de condiciones para la ampliación de las ofertas educativas de nivel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universitario y no universitario.</w:t>
      </w:r>
    </w:p>
    <w:p w14:paraId="0A4EF772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61. Mejora de las condiciones de funcionamiento de los establecimientos escolares: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infraestructura, equipamiento escolar, tecnológico y bibliográfico, entre otros.</w:t>
      </w:r>
    </w:p>
    <w:p w14:paraId="12777535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62. Inclusión de las escuelas, alumnos y docentes de la modalidad en todas las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acciones educativas destinadas a la entrega de equipamiento y formación para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uso de las tecnologías de la información y la comunicación (TICs).</w:t>
      </w:r>
    </w:p>
    <w:p w14:paraId="0BD82CDA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7F3D5C51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6.2. Estrategias para mejorar la calidad educativa</w:t>
      </w:r>
    </w:p>
    <w:p w14:paraId="700B874F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63. Incorporación transversal en la formación docente inicial de contenidos pertinentes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para el desempeño profesional en escuelas ubicadas en contextos de privación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 libertad.</w:t>
      </w:r>
    </w:p>
    <w:p w14:paraId="0552D385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64. Desarrollo de políticas de formación docente continua para la capacitación de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equipos técnicos provinciales, docentes y directivos en temas relacionados con sus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funciones y tareas específicas en escuelas de la modalidad.</w:t>
      </w:r>
    </w:p>
    <w:p w14:paraId="5589457F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65. Implementación de la Especialización Superior de Formación Docente “Educación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en Contextos de Encierro” (Res. CFE N° 58/08), priorizando la participación de los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docentes que están en ejercicio y de los que aspiran a desempeñarse en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modalidad. Promoción de otras instancias de capacitación, en cada provincia y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 CABA, según las necesidades diagnosticadas localmente.</w:t>
      </w:r>
    </w:p>
    <w:p w14:paraId="0E3BEB1D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lastRenderedPageBreak/>
        <w:t xml:space="preserve">66. Extensión progresiva del </w:t>
      </w:r>
      <w:r w:rsidRPr="00906EBE">
        <w:rPr>
          <w:rFonts w:ascii="Trebuchet MS" w:hAnsi="Trebuchet MS" w:cs="Helvetica-Oblique"/>
          <w:i/>
          <w:iCs/>
        </w:rPr>
        <w:t xml:space="preserve">Proyecto Bibliotecas Abiertas </w:t>
      </w:r>
      <w:r w:rsidRPr="00906EBE">
        <w:rPr>
          <w:rFonts w:ascii="Trebuchet MS" w:hAnsi="Trebuchet MS" w:cs="Helvetica"/>
        </w:rPr>
        <w:t>destinado a fortalecer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actualizar las bibliotecas escolares de todas las escuelas en contextos de privación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 la libertad del país e incorporación del cargo de bibliotecario.</w:t>
      </w:r>
    </w:p>
    <w:p w14:paraId="2BB7601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67. Extensión de proyectos de educación no formal que incluyan la formación artística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y el desarrollo cultural.</w:t>
      </w:r>
    </w:p>
    <w:p w14:paraId="34ED76A5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68. Producción de material pedagógico de apoyo a la tarea docente. Análisis y revisión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crítica de los marcos conceptuales vigentes.</w:t>
      </w:r>
    </w:p>
    <w:p w14:paraId="14ED6532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724FED0D" w14:textId="77777777" w:rsidR="00D62F1B" w:rsidRPr="00906EBE" w:rsidRDefault="00D62F1B" w:rsidP="00D62F1B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6.3. Estrategias para mejorar la gestión institucional</w:t>
      </w:r>
    </w:p>
    <w:p w14:paraId="7F460D45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69. Efectivizar e incrementar el trabajo articulado, la firma de convenios y actas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complementarias, la instalación de nuevas mesas intersectoriales en los ámbitos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nacional, provincial y de la CABA.</w:t>
      </w:r>
    </w:p>
    <w:p w14:paraId="3D781284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70. Conformación de un sistema de información actualizado, confiable y seguro.</w:t>
      </w:r>
    </w:p>
    <w:p w14:paraId="426B34EF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71. Incrementar la visibilidad pública de las acciones educativas en desarrollo en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escuelas en contextos de privación de la libertad con la finalidad de contribuir a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configuración de una sociedad más inclusiva en la que prevalezcan la solidaridad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la justicia social.</w:t>
      </w:r>
    </w:p>
    <w:p w14:paraId="25DA8CA4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72. Los resultados de la implementación de estas estrategias de mediano plazo serán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evaluados en un plazo de TRES (3) a CINCO (5) años a efectos de determinar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necesidad de revisión o profundización de las políticas educativas implementadas</w:t>
      </w:r>
    </w:p>
    <w:p w14:paraId="4C5244EC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0B2AE74E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7. Para finalizar</w:t>
      </w:r>
    </w:p>
    <w:p w14:paraId="07F85F73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La modalidad propicia que la escuela en contextos de privación de la libertad sea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un espacio en el cual cada persona es considerada como sujeto de derecho. El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desempeño de la tarea y los vínculos que se establecen entre los miembros de la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comunidad educativa ayudan a reducir la vulnerabilidad y/o a mejorar la situación de cada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alumno en el ámbito personal, emocional y social.</w:t>
      </w:r>
    </w:p>
    <w:p w14:paraId="5E727686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906EBE">
        <w:rPr>
          <w:rFonts w:ascii="Trebuchet MS" w:hAnsi="Trebuchet MS" w:cs="Helvetica"/>
        </w:rPr>
        <w:t>La LEN plantea en sus tres primeros artículos de un modo sintético, contundente y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definitorio, tanto el sentido y lugar de la educación como política de Estado, como su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inscripción entre los derechos humanos. Estos artículos definen los criterios básicos para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el diseño de políticas de la Modalidad Educación en Contextos de Privación de la Libertad</w:t>
      </w:r>
      <w:r>
        <w:rPr>
          <w:rFonts w:ascii="Trebuchet MS" w:hAnsi="Trebuchet MS" w:cs="Helvetica"/>
        </w:rPr>
        <w:t xml:space="preserve"> </w:t>
      </w:r>
      <w:r w:rsidRPr="00906EBE">
        <w:rPr>
          <w:rFonts w:ascii="Trebuchet MS" w:hAnsi="Trebuchet MS" w:cs="Helvetica"/>
        </w:rPr>
        <w:t>y para todo el sistema educativo:</w:t>
      </w:r>
    </w:p>
    <w:p w14:paraId="6839D1E9" w14:textId="77777777" w:rsidR="00D62F1B" w:rsidRPr="00906EBE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D36D2AE" w14:textId="77777777" w:rsidR="00D62F1B" w:rsidRPr="00D57FA0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 xml:space="preserve"> “La presente ley regula el ejercicio del derecho de enseñar y aprender consagrado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>por el artículo 14 de la Constitución Nacional y los tratados internacionales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 xml:space="preserve">incorporados a ella…” </w:t>
      </w:r>
      <w:r w:rsidRPr="00906EBE">
        <w:rPr>
          <w:rFonts w:ascii="Trebuchet MS" w:hAnsi="Trebuchet MS" w:cs="Helvetica"/>
        </w:rPr>
        <w:t>Artículo 1º LEN</w:t>
      </w:r>
    </w:p>
    <w:p w14:paraId="0B3D1A6E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422BB0CC" w14:textId="77777777" w:rsidR="00D62F1B" w:rsidRPr="00D57FA0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t>“La educación y el conocimiento son un bien público y un derecho personal y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 xml:space="preserve">social garantizados por el Estado.” </w:t>
      </w:r>
      <w:r w:rsidRPr="00906EBE">
        <w:rPr>
          <w:rFonts w:ascii="Trebuchet MS" w:hAnsi="Trebuchet MS" w:cs="Helvetica"/>
        </w:rPr>
        <w:t>Artículo 2º LEN</w:t>
      </w:r>
    </w:p>
    <w:p w14:paraId="212A5CDA" w14:textId="77777777" w:rsidR="00D62F1B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7138C965" w14:textId="77777777" w:rsidR="00D62F1B" w:rsidRPr="00D57FA0" w:rsidRDefault="00D62F1B" w:rsidP="00D62F1B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  <w:r w:rsidRPr="00906EBE">
        <w:rPr>
          <w:rFonts w:ascii="Trebuchet MS" w:hAnsi="Trebuchet MS" w:cs="Helvetica-BoldOblique"/>
          <w:b/>
          <w:bCs/>
          <w:i/>
          <w:iCs/>
        </w:rPr>
        <w:lastRenderedPageBreak/>
        <w:t>“La educación es una prioridad nacional y se constituye en una política de Estado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>para construir una sociedad justa, reafirmar la soberanía e identidad nacional,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>profundizar el ejercicio de la ciudadanía democrática, respetar los derechos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>humanos y libertades fundamentales y fortalecer el desarrollo económico-social de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906EBE">
        <w:rPr>
          <w:rFonts w:ascii="Trebuchet MS" w:hAnsi="Trebuchet MS" w:cs="Helvetica-BoldOblique"/>
          <w:b/>
          <w:bCs/>
          <w:i/>
          <w:iCs/>
        </w:rPr>
        <w:t xml:space="preserve">la Nación.” </w:t>
      </w:r>
      <w:r w:rsidRPr="00906EBE">
        <w:rPr>
          <w:rFonts w:ascii="Trebuchet MS" w:hAnsi="Trebuchet MS" w:cs="Helvetica"/>
        </w:rPr>
        <w:t>Artículo 3º LEN</w:t>
      </w:r>
    </w:p>
    <w:p w14:paraId="2A931C5B" w14:textId="77777777" w:rsidR="00D62F1B" w:rsidRPr="00CD20E3" w:rsidRDefault="00D62F1B" w:rsidP="00D62F1B">
      <w:pPr>
        <w:rPr>
          <w:rFonts w:ascii="Trebuchet MS" w:hAnsi="Trebuchet MS"/>
          <w:b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  <w:footnote w:id="1">
    <w:p w14:paraId="68B3A1DA" w14:textId="77777777" w:rsidR="00D62F1B" w:rsidRDefault="00D62F1B" w:rsidP="00D62F1B">
      <w:pPr>
        <w:pStyle w:val="Textonotapie"/>
        <w:rPr>
          <w:rFonts w:ascii="Trebuchet MS" w:hAnsi="Trebuchet MS" w:cs="Times-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1F0B9B">
        <w:rPr>
          <w:rFonts w:ascii="Trebuchet MS" w:hAnsi="Trebuchet MS" w:cs="Times-Roman"/>
          <w:sz w:val="18"/>
          <w:szCs w:val="18"/>
        </w:rPr>
        <w:t>Incluye la atención educativa de los niños/as menores de 4 años que viven con sus madres detenidas en las cárceles y de los niños/as en edad escolar que están con sus madres en condición de arresto domiciliario.</w:t>
      </w:r>
    </w:p>
    <w:p w14:paraId="4E551D62" w14:textId="77777777" w:rsidR="00D62F1B" w:rsidRPr="001F0B9B" w:rsidRDefault="00D62F1B" w:rsidP="00D62F1B">
      <w:pPr>
        <w:pStyle w:val="Textonotapie"/>
        <w:rPr>
          <w:sz w:val="18"/>
          <w:szCs w:val="18"/>
        </w:rPr>
      </w:pPr>
    </w:p>
  </w:footnote>
  <w:footnote w:id="2">
    <w:p w14:paraId="325515BD" w14:textId="77777777" w:rsidR="00D62F1B" w:rsidRPr="00863615" w:rsidRDefault="00D62F1B" w:rsidP="00D62F1B">
      <w:pPr>
        <w:pStyle w:val="Textonotapie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863615">
        <w:rPr>
          <w:rFonts w:ascii="Trebuchet MS" w:hAnsi="Trebuchet MS" w:cs="Times-Roman"/>
          <w:sz w:val="18"/>
          <w:szCs w:val="18"/>
        </w:rPr>
        <w:t>De acuerdo al artículo N° 143 de la LEN y al artículo N° 7 de la Ley N° 25.871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D62F1B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D6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62F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D62F1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D6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62F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D62F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5672</Words>
  <Characters>31196</Characters>
  <Application>Microsoft Macintosh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2021-05-04T12:59:00Z</dcterms:created>
  <dcterms:modified xsi:type="dcterms:W3CDTF">2021-05-04T12:59:00Z</dcterms:modified>
</cp:coreProperties>
</file>