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71B8D" w14:textId="77777777" w:rsidR="00F43C16" w:rsidRPr="009E21EA" w:rsidRDefault="00F43C16" w:rsidP="00F43C16">
      <w:pPr>
        <w:rPr>
          <w:rFonts w:ascii="Trebuchet MS" w:hAnsi="Trebuchet MS" w:cs="Arial"/>
          <w:b/>
          <w:lang w:val="es-MX" w:eastAsia="es-MX"/>
        </w:rPr>
      </w:pPr>
    </w:p>
    <w:p w14:paraId="0C98B5FC" w14:textId="77777777" w:rsidR="00F43C16" w:rsidRDefault="00F43C16" w:rsidP="00F43C16">
      <w:pPr>
        <w:spacing w:line="360" w:lineRule="auto"/>
        <w:jc w:val="center"/>
        <w:rPr>
          <w:rFonts w:ascii="Trebuchet MS" w:hAnsi="Trebuchet MS" w:cs="Arial"/>
          <w:b/>
        </w:rPr>
      </w:pPr>
      <w:r>
        <w:rPr>
          <w:rFonts w:ascii="Trebuchet MS" w:hAnsi="Trebuchet MS" w:cs="Arial"/>
          <w:b/>
        </w:rPr>
        <w:t>REGISTRO DE CUMPLIMIENTO DE NORMAS DE SALUD, HIGIENE Y SEGURIDAD EN EL TRABAJO</w:t>
      </w:r>
    </w:p>
    <w:p w14:paraId="598A3C24" w14:textId="77777777" w:rsidR="00F43C16" w:rsidRDefault="00F43C16" w:rsidP="00F43C16">
      <w:pPr>
        <w:spacing w:line="360" w:lineRule="auto"/>
        <w:jc w:val="center"/>
        <w:rPr>
          <w:rFonts w:ascii="Trebuchet MS" w:hAnsi="Trebuchet MS" w:cs="Arial"/>
          <w:b/>
        </w:rPr>
      </w:pPr>
      <w:r>
        <w:rPr>
          <w:rFonts w:ascii="Trebuchet MS" w:hAnsi="Trebuchet MS" w:cs="Arial"/>
          <w:b/>
        </w:rPr>
        <w:t>MODIFÍCASE LA RESOLUCIÓN Nº 463/09.</w:t>
      </w:r>
    </w:p>
    <w:p w14:paraId="273228BE" w14:textId="77777777" w:rsidR="00F43C16" w:rsidRDefault="00F43C16" w:rsidP="00F43C16">
      <w:pPr>
        <w:rPr>
          <w:rFonts w:ascii="Trebuchet MS" w:hAnsi="Trebuchet MS"/>
          <w:b/>
        </w:rPr>
      </w:pPr>
    </w:p>
    <w:p w14:paraId="4A51B792" w14:textId="77777777" w:rsidR="00F43C16" w:rsidRDefault="00F43C16" w:rsidP="00F43C16">
      <w:pPr>
        <w:jc w:val="center"/>
        <w:rPr>
          <w:rFonts w:ascii="Trebuchet MS" w:hAnsi="Trebuchet MS" w:cs="Arial"/>
        </w:rPr>
      </w:pPr>
      <w:r>
        <w:rPr>
          <w:rFonts w:ascii="Trebuchet MS" w:hAnsi="Trebuchet MS" w:cs="Arial"/>
          <w:b/>
        </w:rPr>
        <w:t>SUPERINTENDENCIA DE RIESGOS DEL TRABAJO RIESGOS DEL TRABAJO</w:t>
      </w:r>
      <w:r>
        <w:rPr>
          <w:rFonts w:ascii="Trebuchet MS" w:hAnsi="Trebuchet MS" w:cs="Arial"/>
          <w:b/>
        </w:rPr>
        <w:br/>
        <w:t> </w:t>
      </w:r>
      <w:r>
        <w:rPr>
          <w:rFonts w:ascii="Trebuchet MS" w:hAnsi="Trebuchet MS" w:cs="Arial"/>
          <w:b/>
        </w:rPr>
        <w:br/>
        <w:t>RESOLUCIÓN 1313/</w:t>
      </w:r>
      <w:proofErr w:type="gramStart"/>
      <w:r>
        <w:rPr>
          <w:rFonts w:ascii="Trebuchet MS" w:hAnsi="Trebuchet MS" w:cs="Arial"/>
          <w:b/>
        </w:rPr>
        <w:t xml:space="preserve">2011       </w:t>
      </w:r>
      <w:proofErr w:type="gramEnd"/>
      <w:r>
        <w:rPr>
          <w:rFonts w:ascii="Trebuchet MS" w:hAnsi="Trebuchet MS" w:cs="Arial"/>
          <w:b/>
        </w:rPr>
        <w:br/>
      </w:r>
      <w:r>
        <w:rPr>
          <w:rFonts w:ascii="Trebuchet MS" w:hAnsi="Trebuchet MS" w:cs="Arial"/>
          <w:b/>
        </w:rPr>
        <w:br/>
      </w:r>
    </w:p>
    <w:p w14:paraId="3BFC3EDF" w14:textId="77777777" w:rsidR="00F43C16" w:rsidRDefault="00F43C16" w:rsidP="00F43C16">
      <w:pPr>
        <w:jc w:val="both"/>
        <w:rPr>
          <w:rFonts w:ascii="Trebuchet MS" w:hAnsi="Trebuchet MS" w:cs="Arial"/>
        </w:rPr>
      </w:pPr>
      <w:r>
        <w:rPr>
          <w:rFonts w:ascii="Trebuchet MS" w:hAnsi="Trebuchet MS" w:cs="Arial"/>
          <w:b/>
        </w:rPr>
        <w:t>VISTO:</w:t>
      </w:r>
      <w:r>
        <w:rPr>
          <w:rFonts w:ascii="Trebuchet MS" w:hAnsi="Trebuchet MS" w:cs="Arial"/>
          <w:b/>
        </w:rPr>
        <w:br/>
      </w:r>
      <w:r>
        <w:rPr>
          <w:rFonts w:ascii="Trebuchet MS" w:hAnsi="Trebuchet MS" w:cs="Arial"/>
        </w:rPr>
        <w:br/>
        <w:t>El Expediente Nº 36.954/11 del Registro de la SUPERINTENDENCIA DE RIESGOS DEL TRABAJO (S.R.T.), la Ley Nº 24.557 y la Resolución S.R.T. Nº 463 de fecha 11 de mayo de 2009, y</w:t>
      </w:r>
    </w:p>
    <w:p w14:paraId="5704BAE4" w14:textId="77777777" w:rsidR="00F43C16" w:rsidRDefault="00F43C16" w:rsidP="00F43C16">
      <w:pPr>
        <w:jc w:val="both"/>
        <w:rPr>
          <w:rFonts w:ascii="Trebuchet MS" w:hAnsi="Trebuchet MS" w:cs="Arial"/>
        </w:rPr>
      </w:pPr>
    </w:p>
    <w:p w14:paraId="6B829A69" w14:textId="77777777" w:rsidR="00F43C16" w:rsidRDefault="00F43C16" w:rsidP="00F43C16">
      <w:pPr>
        <w:jc w:val="both"/>
        <w:rPr>
          <w:rFonts w:ascii="Trebuchet MS" w:hAnsi="Trebuchet MS" w:cs="Arial"/>
        </w:rPr>
      </w:pPr>
      <w:r>
        <w:rPr>
          <w:rFonts w:ascii="Trebuchet MS" w:hAnsi="Trebuchet MS" w:cs="Arial"/>
        </w:rPr>
        <w:br/>
      </w:r>
      <w:r>
        <w:rPr>
          <w:rFonts w:ascii="Trebuchet MS" w:hAnsi="Trebuchet MS" w:cs="Arial"/>
          <w:b/>
        </w:rPr>
        <w:t>CONSIDERANDO:</w:t>
      </w:r>
      <w:r>
        <w:rPr>
          <w:rFonts w:ascii="Trebuchet MS" w:hAnsi="Trebuchet MS" w:cs="Arial"/>
          <w:b/>
        </w:rPr>
        <w:br/>
      </w:r>
      <w:r>
        <w:rPr>
          <w:rFonts w:ascii="Trebuchet MS" w:hAnsi="Trebuchet MS" w:cs="Arial"/>
        </w:rPr>
        <w:br/>
        <w:t>Que conforme lo dispuesto por el artículo 36 de la Ley Nº 24.557 (L.R.T.) corresponde a esta SUPERINTENDENCIA DE RIESGOS DEL TRABAJO (S.R.T.) regular y supervisar el sistema instaurado en dicha ley.</w:t>
      </w:r>
    </w:p>
    <w:p w14:paraId="0C6AA955" w14:textId="77777777" w:rsidR="00F43C16" w:rsidRDefault="00F43C16" w:rsidP="00F43C16">
      <w:pPr>
        <w:jc w:val="both"/>
        <w:rPr>
          <w:rFonts w:ascii="Trebuchet MS" w:hAnsi="Trebuchet MS" w:cs="Arial"/>
        </w:rPr>
      </w:pPr>
      <w:r>
        <w:rPr>
          <w:rFonts w:ascii="Trebuchet MS" w:hAnsi="Trebuchet MS" w:cs="Arial"/>
        </w:rPr>
        <w:br/>
        <w:t>Que el artículo 2º incluye obligatoriamente dentro de su ámbito de aplicación a funcionarios y empleados del sector público nacional, de las provincias y sus municipios y de la Municipalidad de la Ciudad Autónoma de BUENOS AIRES.</w:t>
      </w:r>
    </w:p>
    <w:p w14:paraId="72EEC6AA" w14:textId="77777777" w:rsidR="00F43C16" w:rsidRDefault="00F43C16" w:rsidP="00F43C16">
      <w:pPr>
        <w:jc w:val="both"/>
        <w:rPr>
          <w:rFonts w:ascii="Trebuchet MS" w:hAnsi="Trebuchet MS" w:cs="Arial"/>
        </w:rPr>
      </w:pPr>
      <w:r>
        <w:rPr>
          <w:rFonts w:ascii="Trebuchet MS" w:hAnsi="Trebuchet MS" w:cs="Arial"/>
        </w:rPr>
        <w:br/>
        <w:t>Que a su turno el artículo 27 de la Ley Nº 24.557 dispuso que los empleadores no incluidos en el régimen de autoseguro deberán afiliarse obligatoriamente a la A.R.T. que libremente elijan, y declarar las altas y bajas que se produzcan en su plantel de trabajadores. Asimismo, el apartado 3º del artículo citado estableció como facultad de esta S.R.T. la determinación de la forma, contenido y plazo de la vigencia de los contratos de afiliación.</w:t>
      </w:r>
    </w:p>
    <w:p w14:paraId="4D486F14" w14:textId="77777777" w:rsidR="00F43C16" w:rsidRDefault="00F43C16" w:rsidP="00F43C16">
      <w:pPr>
        <w:jc w:val="both"/>
        <w:rPr>
          <w:rFonts w:ascii="Trebuchet MS" w:hAnsi="Trebuchet MS" w:cs="Arial"/>
        </w:rPr>
      </w:pPr>
      <w:r>
        <w:rPr>
          <w:rFonts w:ascii="Trebuchet MS" w:hAnsi="Trebuchet MS" w:cs="Arial"/>
        </w:rPr>
        <w:br/>
        <w:t>Que a efectos de optimizar el funcionamiento integral del Sistema de Riesgos del Trabajo esta S.R.T. dictó la Resolución S.R.T. Nº 463 de fecha 11 de mayo de 2009 por la cual se reglamentó, entre otras cuestiones, la Solicitud de Afiliación y el Contrato Tipo de Afiliación (C.T.A.) estableciendo, a su vez, un plazo de TREINTA (30) días corridos previos a la incorporación de la nueva alícuota, para que el EMPLEADOR pueda ejercer el derecho a cambiar de aseguradora, cumpliendo con el procedimiento establecido para tal fin por la normativa vigente.</w:t>
      </w:r>
    </w:p>
    <w:p w14:paraId="6EDA2DE7" w14:textId="77777777" w:rsidR="00F43C16" w:rsidRDefault="00F43C16" w:rsidP="00F43C16">
      <w:pPr>
        <w:jc w:val="both"/>
        <w:rPr>
          <w:rFonts w:ascii="Trebuchet MS" w:hAnsi="Trebuchet MS" w:cs="Arial"/>
        </w:rPr>
      </w:pPr>
      <w:r>
        <w:rPr>
          <w:rFonts w:ascii="Trebuchet MS" w:hAnsi="Trebuchet MS" w:cs="Arial"/>
        </w:rPr>
        <w:br/>
      </w:r>
      <w:proofErr w:type="gramStart"/>
      <w:r>
        <w:rPr>
          <w:rFonts w:ascii="Trebuchet MS" w:hAnsi="Trebuchet MS" w:cs="Arial"/>
        </w:rPr>
        <w:t>Que sin embargo, se pudo observar que en la práctica resulta imposible para el empleador del sector público materializar una nueva contratación dentro del plazo fijado.</w:t>
      </w:r>
      <w:proofErr w:type="gramEnd"/>
    </w:p>
    <w:p w14:paraId="431FD660" w14:textId="77777777" w:rsidR="00F43C16" w:rsidRDefault="00F43C16" w:rsidP="00F43C16">
      <w:pPr>
        <w:jc w:val="both"/>
        <w:rPr>
          <w:rFonts w:ascii="Trebuchet MS" w:hAnsi="Trebuchet MS" w:cs="Arial"/>
        </w:rPr>
      </w:pPr>
      <w:r>
        <w:rPr>
          <w:rFonts w:ascii="Trebuchet MS" w:hAnsi="Trebuchet MS" w:cs="Arial"/>
        </w:rPr>
        <w:lastRenderedPageBreak/>
        <w:br/>
        <w:t>Que los empleadores del sector público como regla, deben someterse a regímenes que garanticen el debido control sobre los fondos utilizados, así como la libre concurrencia de oferentes, la publicidad y la transparencia en la contratación realizada; ello implica que la contratación de productos o servicios que para el empleador privado demora unos pocos días, en el caso de los empleadores del sector público lleva, en la mayoría de los casos, más de TREINTA (30) días.</w:t>
      </w:r>
    </w:p>
    <w:p w14:paraId="37700A9A" w14:textId="77777777" w:rsidR="00F43C16" w:rsidRDefault="00F43C16" w:rsidP="00F43C16">
      <w:pPr>
        <w:jc w:val="both"/>
        <w:rPr>
          <w:rFonts w:ascii="Trebuchet MS" w:hAnsi="Trebuchet MS" w:cs="Arial"/>
        </w:rPr>
      </w:pPr>
      <w:r>
        <w:rPr>
          <w:rFonts w:ascii="Trebuchet MS" w:hAnsi="Trebuchet MS" w:cs="Arial"/>
        </w:rPr>
        <w:br/>
        <w:t>Que en consecuencia, corresponde sustituir la Cláusula Tercera, Anexo II —Contrato Tipo de Afiliación, o C.T.A.—, de la citada Resolución S.R.T. Nº 463/09.</w:t>
      </w:r>
    </w:p>
    <w:p w14:paraId="605374BC" w14:textId="77777777" w:rsidR="00F43C16" w:rsidRDefault="00F43C16" w:rsidP="00F43C16">
      <w:pPr>
        <w:jc w:val="both"/>
        <w:rPr>
          <w:rFonts w:ascii="Trebuchet MS" w:hAnsi="Trebuchet MS" w:cs="Arial"/>
        </w:rPr>
      </w:pPr>
      <w:r>
        <w:rPr>
          <w:rFonts w:ascii="Trebuchet MS" w:hAnsi="Trebuchet MS" w:cs="Arial"/>
        </w:rPr>
        <w:br/>
        <w:t>Que la Gerencia de Asuntos Legales ha tomado la intervención que le corresponde.</w:t>
      </w:r>
    </w:p>
    <w:p w14:paraId="7CB23260" w14:textId="77777777" w:rsidR="00F43C16" w:rsidRDefault="00F43C16" w:rsidP="00F43C16">
      <w:pPr>
        <w:jc w:val="both"/>
        <w:rPr>
          <w:rFonts w:ascii="Trebuchet MS" w:hAnsi="Trebuchet MS" w:cs="Arial"/>
        </w:rPr>
      </w:pPr>
      <w:r>
        <w:rPr>
          <w:rFonts w:ascii="Trebuchet MS" w:hAnsi="Trebuchet MS" w:cs="Arial"/>
        </w:rPr>
        <w:br/>
        <w:t>Que la presente se dicta en uso de las atribuciones otorgadas por el apartado 3º del artículo 27 y artículos 36 y 38 de la Ley Nº 24.557.</w:t>
      </w:r>
    </w:p>
    <w:p w14:paraId="5B438429" w14:textId="77777777" w:rsidR="00F43C16" w:rsidRDefault="00F43C16" w:rsidP="00F43C16">
      <w:pPr>
        <w:jc w:val="both"/>
        <w:rPr>
          <w:rFonts w:ascii="Trebuchet MS" w:hAnsi="Trebuchet MS" w:cs="Arial"/>
        </w:rPr>
      </w:pPr>
      <w:r>
        <w:rPr>
          <w:rFonts w:ascii="Trebuchet MS" w:hAnsi="Trebuchet MS" w:cs="Arial"/>
        </w:rPr>
        <w:br/>
        <w:t>Por ello,</w:t>
      </w:r>
    </w:p>
    <w:p w14:paraId="4831F954" w14:textId="77777777" w:rsidR="00F43C16" w:rsidRDefault="00F43C16" w:rsidP="00F43C16">
      <w:pPr>
        <w:jc w:val="both"/>
        <w:rPr>
          <w:rFonts w:ascii="Trebuchet MS" w:hAnsi="Trebuchet MS" w:cs="Arial"/>
        </w:rPr>
      </w:pPr>
    </w:p>
    <w:p w14:paraId="4036DC97" w14:textId="77777777" w:rsidR="00F43C16" w:rsidRDefault="00F43C16" w:rsidP="00F43C16">
      <w:pPr>
        <w:jc w:val="center"/>
        <w:rPr>
          <w:rFonts w:ascii="Trebuchet MS" w:hAnsi="Trebuchet MS" w:cs="Arial"/>
          <w:b/>
        </w:rPr>
      </w:pPr>
      <w:r>
        <w:rPr>
          <w:rFonts w:ascii="Trebuchet MS" w:hAnsi="Trebuchet MS" w:cs="Arial"/>
        </w:rPr>
        <w:t xml:space="preserve">       </w:t>
      </w:r>
      <w:r>
        <w:rPr>
          <w:rFonts w:ascii="Trebuchet MS" w:hAnsi="Trebuchet MS" w:cs="Arial"/>
        </w:rPr>
        <w:br/>
      </w:r>
      <w:r>
        <w:rPr>
          <w:rFonts w:ascii="Trebuchet MS" w:hAnsi="Trebuchet MS" w:cs="Arial"/>
          <w:b/>
        </w:rPr>
        <w:t>EL SUPERINTENDENTEDE RIESGOS DEL TRABAJO</w:t>
      </w:r>
    </w:p>
    <w:p w14:paraId="13B954DD" w14:textId="77777777" w:rsidR="00F43C16" w:rsidRDefault="00F43C16" w:rsidP="00F43C16">
      <w:pPr>
        <w:jc w:val="center"/>
        <w:rPr>
          <w:rFonts w:ascii="Trebuchet MS" w:hAnsi="Trebuchet MS" w:cs="Arial"/>
          <w:b/>
        </w:rPr>
      </w:pPr>
      <w:r>
        <w:rPr>
          <w:rFonts w:ascii="Trebuchet MS" w:hAnsi="Trebuchet MS" w:cs="Arial"/>
          <w:b/>
        </w:rPr>
        <w:t>RESUELVE:</w:t>
      </w:r>
    </w:p>
    <w:p w14:paraId="47F96B1E" w14:textId="77777777" w:rsidR="00F43C16" w:rsidRDefault="00F43C16" w:rsidP="00F43C16">
      <w:pPr>
        <w:jc w:val="both"/>
        <w:rPr>
          <w:rFonts w:ascii="Trebuchet MS" w:hAnsi="Trebuchet MS" w:cs="Arial"/>
        </w:rPr>
      </w:pPr>
    </w:p>
    <w:p w14:paraId="468F26A7" w14:textId="77777777" w:rsidR="00F43C16" w:rsidRDefault="00F43C16" w:rsidP="00F43C16">
      <w:pPr>
        <w:jc w:val="both"/>
        <w:rPr>
          <w:rFonts w:ascii="Trebuchet MS" w:hAnsi="Trebuchet MS" w:cs="Arial"/>
        </w:rPr>
      </w:pPr>
      <w:r>
        <w:rPr>
          <w:rFonts w:ascii="Trebuchet MS" w:hAnsi="Trebuchet MS" w:cs="Arial"/>
        </w:rPr>
        <w:br/>
        <w:t>Artículo 1º — Sustitúyese el texto de la Cláusula Tercera, Anexo II, de la Resolución de esta SUPERINTENDENCIA DE RIESGOS DEL TRABAJO (S.R.T.) Nº 463 de fecha 11 de mayo de 2009, el que quedará redactado de la siguiente manera:</w:t>
      </w:r>
    </w:p>
    <w:p w14:paraId="7CCABCD1" w14:textId="77777777" w:rsidR="00F43C16" w:rsidRDefault="00F43C16" w:rsidP="00F43C16">
      <w:pPr>
        <w:jc w:val="both"/>
        <w:rPr>
          <w:rFonts w:ascii="Trebuchet MS" w:hAnsi="Trebuchet MS" w:cs="Arial"/>
        </w:rPr>
      </w:pPr>
    </w:p>
    <w:p w14:paraId="08BA8A33" w14:textId="77777777" w:rsidR="00F43C16" w:rsidRDefault="00F43C16" w:rsidP="00F43C16">
      <w:pPr>
        <w:jc w:val="both"/>
        <w:rPr>
          <w:rFonts w:ascii="Trebuchet MS" w:hAnsi="Trebuchet MS" w:cs="Arial"/>
          <w:b/>
        </w:rPr>
      </w:pPr>
      <w:r>
        <w:rPr>
          <w:rFonts w:ascii="Trebuchet MS" w:hAnsi="Trebuchet MS" w:cs="Arial"/>
        </w:rPr>
        <w:br/>
      </w:r>
      <w:r>
        <w:rPr>
          <w:rFonts w:ascii="Trebuchet MS" w:hAnsi="Trebuchet MS" w:cs="Arial"/>
          <w:b/>
        </w:rPr>
        <w:t>“CLAUSULA TERCERA: COTIZACION.</w:t>
      </w:r>
    </w:p>
    <w:p w14:paraId="77548C22" w14:textId="77777777" w:rsidR="00F43C16" w:rsidRDefault="00F43C16" w:rsidP="00F43C16">
      <w:pPr>
        <w:jc w:val="both"/>
        <w:rPr>
          <w:rFonts w:ascii="Trebuchet MS" w:hAnsi="Trebuchet MS" w:cs="Arial"/>
          <w:b/>
        </w:rPr>
      </w:pPr>
    </w:p>
    <w:p w14:paraId="0190EABE" w14:textId="77777777" w:rsidR="00F43C16" w:rsidRDefault="00F43C16" w:rsidP="00F43C16">
      <w:pPr>
        <w:jc w:val="both"/>
        <w:rPr>
          <w:rFonts w:ascii="Trebuchet MS" w:hAnsi="Trebuchet MS" w:cs="Arial"/>
        </w:rPr>
      </w:pPr>
      <w:r>
        <w:rPr>
          <w:rFonts w:ascii="Trebuchet MS" w:hAnsi="Trebuchet MS" w:cs="Arial"/>
        </w:rPr>
        <w:br/>
        <w:t>El EMPLEADOR abonará la cuota que resulte de aplicar la alícuota convenida en las Condiciones Particulares, la cual deberá encontrarse ajustada al régimen aprobado por el órgano competente.</w:t>
      </w:r>
      <w:r>
        <w:rPr>
          <w:rFonts w:ascii="Trebuchet MS" w:hAnsi="Trebuchet MS" w:cs="Arial"/>
        </w:rPr>
        <w:br/>
        <w:t>La cuota será declarada e ingresada por mes adelantado en función de la nómina salarial del mes inmediato anterior, con las modalidades, plazos y condiciones establecidos para el pago de los aportes y contribuciones con destino a la Seguridad Social.</w:t>
      </w:r>
    </w:p>
    <w:p w14:paraId="2F8A2E33" w14:textId="77777777" w:rsidR="00F43C16" w:rsidRDefault="00F43C16" w:rsidP="00F43C16">
      <w:pPr>
        <w:jc w:val="both"/>
        <w:rPr>
          <w:rFonts w:ascii="Trebuchet MS" w:hAnsi="Trebuchet MS" w:cs="Arial"/>
        </w:rPr>
      </w:pPr>
      <w:r>
        <w:rPr>
          <w:rFonts w:ascii="Trebuchet MS" w:hAnsi="Trebuchet MS" w:cs="Arial"/>
        </w:rPr>
        <w:br/>
        <w:t>En los casos de inicio de actividad o, cuando por otras razones no exista nómina salarial correspondiente al mes anterior al de las prestaciones, la alícuota se cotizará en función de la nómina prevista para el mes de pago y se ingresará por el procedimiento habitual indicando el mes anterior en el formulario de pago.</w:t>
      </w:r>
      <w:r>
        <w:rPr>
          <w:rFonts w:ascii="Trebuchet MS" w:hAnsi="Trebuchet MS" w:cs="Arial"/>
        </w:rPr>
        <w:br/>
      </w:r>
      <w:r>
        <w:rPr>
          <w:rFonts w:ascii="Trebuchet MS" w:hAnsi="Trebuchet MS" w:cs="Arial"/>
        </w:rPr>
        <w:lastRenderedPageBreak/>
        <w:t xml:space="preserve">En caso de resultar necesario modificar la alícuota del presente contrato, la ASEGURADORA deberá notificar los nuevos valores en forma fehaciente, con una antelación no menor a TREINTA (30) días corridos a la incorporación de la nueva alícuota, a los efectos de que el EMPLEADOR pueda ejercer el derecho de cambiar de aseguradora, cumpliendo con el procedimiento establecido para tal fin por la normativa vigente. Si el empleador perteneciere al sector público nacional, de las provincias o de sus municipios o de la Ciudad Autónoma de BUENOS AIRES, el plazo aludido en el presente párrafo no será menor a CIENTO VEINTE (120) días corridos, pudiendo extenderse por SESENTA (60) días corridos adicionales, mediando petición debidamente fundada por parte del Empleador. Si la ASEGURADORA rechazase la ampliación mencionada, dicha cuestión será sometida </w:t>
      </w:r>
      <w:proofErr w:type="gramStart"/>
      <w:r>
        <w:rPr>
          <w:rFonts w:ascii="Trebuchet MS" w:hAnsi="Trebuchet MS" w:cs="Arial"/>
        </w:rPr>
        <w:t>a</w:t>
      </w:r>
      <w:proofErr w:type="gramEnd"/>
      <w:r>
        <w:rPr>
          <w:rFonts w:ascii="Trebuchet MS" w:hAnsi="Trebuchet MS" w:cs="Arial"/>
        </w:rPr>
        <w:t xml:space="preserve"> esta S.R.T.</w:t>
      </w:r>
    </w:p>
    <w:p w14:paraId="631B36B0" w14:textId="77777777" w:rsidR="00F43C16" w:rsidRDefault="00F43C16" w:rsidP="00F43C16">
      <w:pPr>
        <w:jc w:val="both"/>
        <w:rPr>
          <w:rFonts w:ascii="Trebuchet MS" w:hAnsi="Trebuchet MS" w:cs="Arial"/>
        </w:rPr>
      </w:pPr>
      <w:r>
        <w:rPr>
          <w:rFonts w:ascii="Trebuchet MS" w:hAnsi="Trebuchet MS" w:cs="Arial"/>
        </w:rPr>
        <w:br/>
        <w:t>Los cambios de alícuotas deberán respetar la anualidad de su vigencia, de acuerdo con lo establecido en el artículo 15 del Decreto Nº 170/96, salvo en los casos en que las modificaciones de las alícuotas obedezcan a c</w:t>
      </w:r>
    </w:p>
    <w:p w14:paraId="260DF351" w14:textId="77777777" w:rsidR="00F43C16" w:rsidRDefault="00F43C16" w:rsidP="00F43C16">
      <w:pPr>
        <w:jc w:val="both"/>
        <w:rPr>
          <w:rFonts w:ascii="Trebuchet MS" w:hAnsi="Trebuchet MS" w:cs="Arial"/>
        </w:rPr>
      </w:pPr>
      <w:proofErr w:type="gramStart"/>
      <w:r>
        <w:rPr>
          <w:rFonts w:ascii="Trebuchet MS" w:hAnsi="Trebuchet MS" w:cs="Arial"/>
        </w:rPr>
        <w:t>cambios</w:t>
      </w:r>
      <w:proofErr w:type="gramEnd"/>
      <w:r>
        <w:rPr>
          <w:rFonts w:ascii="Trebuchet MS" w:hAnsi="Trebuchet MS" w:cs="Arial"/>
        </w:rPr>
        <w:t xml:space="preserve"> de actividad del empleador o a cambios de C.IIU acordados con la aseguradora.”</w:t>
      </w:r>
    </w:p>
    <w:p w14:paraId="003C1F7B" w14:textId="77777777" w:rsidR="00F43C16" w:rsidRDefault="00F43C16" w:rsidP="00F43C16">
      <w:pPr>
        <w:jc w:val="both"/>
        <w:rPr>
          <w:rFonts w:ascii="Trebuchet MS" w:hAnsi="Trebuchet MS" w:cs="Arial"/>
        </w:rPr>
      </w:pPr>
    </w:p>
    <w:p w14:paraId="1D9055E0" w14:textId="77777777" w:rsidR="00F43C16" w:rsidRDefault="00F43C16" w:rsidP="00F43C16">
      <w:pPr>
        <w:jc w:val="both"/>
        <w:rPr>
          <w:rFonts w:ascii="Trebuchet MS" w:hAnsi="Trebuchet MS" w:cs="Arial"/>
        </w:rPr>
      </w:pPr>
      <w:r>
        <w:rPr>
          <w:rFonts w:ascii="Trebuchet MS" w:hAnsi="Trebuchet MS" w:cs="Arial"/>
        </w:rPr>
        <w:br/>
        <w:t>Art. 2º — La presente resolución entrará en vigencia a partir del día 1º de octubre de 2011.</w:t>
      </w:r>
    </w:p>
    <w:p w14:paraId="453B41F3" w14:textId="77777777" w:rsidR="00F43C16" w:rsidRDefault="00F43C16" w:rsidP="00F43C16">
      <w:pPr>
        <w:jc w:val="both"/>
        <w:rPr>
          <w:rFonts w:ascii="Trebuchet MS" w:hAnsi="Trebuchet MS" w:cs="Arial"/>
        </w:rPr>
      </w:pPr>
    </w:p>
    <w:p w14:paraId="0D5DEBC2" w14:textId="77777777" w:rsidR="00F43C16" w:rsidRDefault="00F43C16" w:rsidP="00F43C16">
      <w:pPr>
        <w:jc w:val="both"/>
        <w:rPr>
          <w:rFonts w:ascii="Trebuchet MS" w:hAnsi="Trebuchet MS" w:cs="Arial"/>
        </w:rPr>
      </w:pPr>
      <w:r>
        <w:rPr>
          <w:rFonts w:ascii="Trebuchet MS" w:hAnsi="Trebuchet MS" w:cs="Arial"/>
        </w:rPr>
        <w:br/>
        <w:t>Art. 3º — Comuníquese, publíquese, dése a la Dirección Nacional del Registro Oficial y archívese. — Juan H. González Gaviola.     </w:t>
      </w:r>
    </w:p>
    <w:p w14:paraId="672A3B34" w14:textId="77777777" w:rsidR="00F43C16" w:rsidRDefault="00F43C16" w:rsidP="00F43C16">
      <w:pPr>
        <w:rPr>
          <w:rFonts w:ascii="Trebuchet MS" w:hAnsi="Trebuchet MS"/>
          <w:b/>
        </w:rPr>
      </w:pPr>
    </w:p>
    <w:p w14:paraId="5A2E2FE7" w14:textId="77777777" w:rsidR="00F43C16" w:rsidRPr="00046AF7" w:rsidRDefault="00F43C16" w:rsidP="00F43C16">
      <w:pPr>
        <w:jc w:val="center"/>
        <w:rPr>
          <w:rFonts w:ascii="Trebuchet MS" w:hAnsi="Trebuchet MS" w:cs="Arial"/>
          <w:b/>
          <w:lang w:eastAsia="es-MX"/>
        </w:rPr>
      </w:pPr>
    </w:p>
    <w:p w14:paraId="38F08DFB" w14:textId="77777777" w:rsidR="00F43C16" w:rsidRPr="007C0E7E" w:rsidRDefault="00F43C16" w:rsidP="00F43C16">
      <w:pPr>
        <w:jc w:val="center"/>
        <w:rPr>
          <w:rFonts w:ascii="Trebuchet MS" w:hAnsi="Trebuchet MS" w:cs="Arial"/>
          <w:b/>
          <w:lang w:val="es-MX" w:eastAsia="es-MX"/>
        </w:rPr>
      </w:pPr>
    </w:p>
    <w:p w14:paraId="7F83A095" w14:textId="77777777" w:rsidR="00F43C16" w:rsidRPr="007F0AEB" w:rsidRDefault="00F43C16" w:rsidP="00F43C16">
      <w:pPr>
        <w:rPr>
          <w:rFonts w:ascii="Trebuchet MS" w:hAnsi="Trebuchet MS"/>
          <w:b/>
          <w:lang w:val="es-MX"/>
        </w:rPr>
      </w:pPr>
    </w:p>
    <w:p w14:paraId="6CDB0543" w14:textId="0E5515F3" w:rsidR="00592F1B" w:rsidRDefault="00E92FFD">
      <w:bookmarkStart w:id="0" w:name="_GoBack"/>
      <w:bookmarkEnd w:id="0"/>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E92FFD"/>
    <w:rsid w:val="00F43C16"/>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824</Words>
  <Characters>4537</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2021-05-03T19:59:00Z</dcterms:created>
  <dcterms:modified xsi:type="dcterms:W3CDTF">2021-05-03T19:59:00Z</dcterms:modified>
</cp:coreProperties>
</file>