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CFE3A" w14:textId="77777777" w:rsidR="00E676AC" w:rsidRDefault="00E676AC" w:rsidP="00E676AC">
      <w:pPr>
        <w:widowControl w:val="0"/>
        <w:autoSpaceDE w:val="0"/>
        <w:autoSpaceDN w:val="0"/>
        <w:adjustRightInd w:val="0"/>
        <w:spacing w:before="2" w:after="0" w:line="240" w:lineRule="auto"/>
        <w:ind w:right="-1"/>
        <w:rPr>
          <w:rFonts w:ascii="Times New Roman" w:hAnsi="Times New Roman" w:cs="Times New Roman"/>
          <w:sz w:val="24"/>
          <w:szCs w:val="24"/>
          <w:lang w:val="es-ES"/>
        </w:rPr>
      </w:pPr>
    </w:p>
    <w:p w14:paraId="0CA1E1FF" w14:textId="77777777" w:rsidR="00E676AC" w:rsidRDefault="00E676AC" w:rsidP="00E676AC">
      <w:pPr>
        <w:widowControl w:val="0"/>
        <w:autoSpaceDE w:val="0"/>
        <w:autoSpaceDN w:val="0"/>
        <w:adjustRightInd w:val="0"/>
        <w:spacing w:after="0" w:line="20" w:lineRule="exact"/>
        <w:ind w:right="-1"/>
        <w:rPr>
          <w:rFonts w:ascii="Times New Roman" w:hAnsi="Times New Roman" w:cs="Times New Roman"/>
          <w:sz w:val="2"/>
          <w:szCs w:val="2"/>
          <w:lang w:val="es-ES"/>
        </w:rPr>
      </w:pPr>
    </w:p>
    <w:p w14:paraId="3967AED5" w14:textId="77777777" w:rsidR="00E676AC" w:rsidRDefault="00E676AC" w:rsidP="00E676AC">
      <w:pPr>
        <w:widowControl w:val="0"/>
        <w:autoSpaceDE w:val="0"/>
        <w:autoSpaceDN w:val="0"/>
        <w:adjustRightInd w:val="0"/>
        <w:spacing w:after="0" w:line="240" w:lineRule="auto"/>
        <w:ind w:right="-1"/>
        <w:rPr>
          <w:rFonts w:ascii="Times New Roman" w:hAnsi="Times New Roman" w:cs="Times New Roman"/>
          <w:sz w:val="20"/>
          <w:szCs w:val="20"/>
          <w:lang w:val="es-ES"/>
        </w:rPr>
      </w:pPr>
    </w:p>
    <w:p w14:paraId="59AAE7E3" w14:textId="77777777" w:rsidR="00E676AC" w:rsidRDefault="00E676AC" w:rsidP="00E676AC">
      <w:pPr>
        <w:widowControl w:val="0"/>
        <w:autoSpaceDE w:val="0"/>
        <w:autoSpaceDN w:val="0"/>
        <w:adjustRightInd w:val="0"/>
        <w:spacing w:before="11" w:after="0" w:line="240" w:lineRule="auto"/>
        <w:ind w:right="-1"/>
        <w:rPr>
          <w:rFonts w:ascii="Times New Roman" w:hAnsi="Times New Roman" w:cs="Times New Roman"/>
          <w:sz w:val="18"/>
          <w:szCs w:val="18"/>
          <w:lang w:val="es-ES"/>
        </w:rPr>
      </w:pPr>
    </w:p>
    <w:p w14:paraId="73AD8369" w14:textId="77777777" w:rsidR="00E676AC" w:rsidRDefault="00E676AC" w:rsidP="00E676AC">
      <w:pPr>
        <w:widowControl w:val="0"/>
        <w:autoSpaceDE w:val="0"/>
        <w:autoSpaceDN w:val="0"/>
        <w:adjustRightInd w:val="0"/>
        <w:spacing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NUEVO TOPE INDEMNIZATORIO POR CADA AÑO DE ANTIGÜEDAD O FRACCIÓN MAYOR </w:t>
      </w:r>
    </w:p>
    <w:p w14:paraId="0C8EC663" w14:textId="62974DBA" w:rsidR="00E676AC" w:rsidRDefault="00E676AC" w:rsidP="00E676AC">
      <w:pPr>
        <w:widowControl w:val="0"/>
        <w:autoSpaceDE w:val="0"/>
        <w:autoSpaceDN w:val="0"/>
        <w:adjustRightInd w:val="0"/>
        <w:spacing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A TRES MESES A PARTIR DEL 1° DE MARZO DE 2008</w:t>
      </w:r>
    </w:p>
    <w:p w14:paraId="0DF3F42E" w14:textId="77777777" w:rsidR="00E676AC" w:rsidRDefault="00E676AC" w:rsidP="00E676AC">
      <w:pPr>
        <w:widowControl w:val="0"/>
        <w:autoSpaceDE w:val="0"/>
        <w:autoSpaceDN w:val="0"/>
        <w:adjustRightInd w:val="0"/>
        <w:spacing w:before="7" w:after="0" w:line="430" w:lineRule="atLeast"/>
        <w:ind w:right="-1"/>
        <w:jc w:val="center"/>
        <w:rPr>
          <w:rFonts w:ascii="Trebuchet MS" w:hAnsi="Trebuchet MS" w:cs="Trebuchet MS"/>
          <w:b/>
          <w:bCs/>
          <w:kern w:val="1"/>
          <w:sz w:val="19"/>
          <w:szCs w:val="19"/>
          <w:lang w:val="es-ES"/>
        </w:rPr>
      </w:pPr>
      <w:r>
        <w:rPr>
          <w:rFonts w:ascii="Trebuchet MS" w:hAnsi="Trebuchet MS" w:cs="Trebuchet MS"/>
          <w:b/>
          <w:bCs/>
          <w:sz w:val="19"/>
          <w:szCs w:val="19"/>
          <w:lang w:val="es-ES"/>
        </w:rPr>
        <w:t>CONVENIO</w:t>
      </w:r>
      <w:r>
        <w:rPr>
          <w:rFonts w:ascii="Trebuchet MS" w:hAnsi="Trebuchet MS" w:cs="Trebuchet MS"/>
          <w:b/>
          <w:bCs/>
          <w:spacing w:val="-14"/>
          <w:kern w:val="1"/>
          <w:sz w:val="19"/>
          <w:szCs w:val="19"/>
          <w:lang w:val="es-ES"/>
        </w:rPr>
        <w:t xml:space="preserve"> </w:t>
      </w:r>
      <w:r>
        <w:rPr>
          <w:rFonts w:ascii="Trebuchet MS" w:hAnsi="Trebuchet MS" w:cs="Trebuchet MS"/>
          <w:b/>
          <w:bCs/>
          <w:kern w:val="1"/>
          <w:sz w:val="19"/>
          <w:szCs w:val="19"/>
          <w:lang w:val="es-ES"/>
        </w:rPr>
        <w:t>COLECTIVO</w:t>
      </w:r>
      <w:r>
        <w:rPr>
          <w:rFonts w:ascii="Trebuchet MS" w:hAnsi="Trebuchet MS" w:cs="Trebuchet MS"/>
          <w:b/>
          <w:bCs/>
          <w:spacing w:val="-12"/>
          <w:kern w:val="1"/>
          <w:sz w:val="19"/>
          <w:szCs w:val="19"/>
          <w:lang w:val="es-ES"/>
        </w:rPr>
        <w:t xml:space="preserve"> </w:t>
      </w:r>
      <w:r>
        <w:rPr>
          <w:rFonts w:ascii="Trebuchet MS" w:hAnsi="Trebuchet MS" w:cs="Trebuchet MS"/>
          <w:b/>
          <w:bCs/>
          <w:kern w:val="1"/>
          <w:sz w:val="19"/>
          <w:szCs w:val="19"/>
          <w:lang w:val="es-ES"/>
        </w:rPr>
        <w:t>DE</w:t>
      </w:r>
      <w:r>
        <w:rPr>
          <w:rFonts w:ascii="Trebuchet MS" w:hAnsi="Trebuchet MS" w:cs="Trebuchet MS"/>
          <w:b/>
          <w:bCs/>
          <w:spacing w:val="-13"/>
          <w:kern w:val="1"/>
          <w:sz w:val="19"/>
          <w:szCs w:val="19"/>
          <w:lang w:val="es-ES"/>
        </w:rPr>
        <w:t xml:space="preserve"> </w:t>
      </w:r>
      <w:r>
        <w:rPr>
          <w:rFonts w:ascii="Trebuchet MS" w:hAnsi="Trebuchet MS" w:cs="Trebuchet MS"/>
          <w:b/>
          <w:bCs/>
          <w:kern w:val="1"/>
          <w:sz w:val="19"/>
          <w:szCs w:val="19"/>
          <w:lang w:val="es-ES"/>
        </w:rPr>
        <w:t>TRABAJO</w:t>
      </w:r>
      <w:r>
        <w:rPr>
          <w:rFonts w:ascii="Trebuchet MS" w:hAnsi="Trebuchet MS" w:cs="Trebuchet MS"/>
          <w:b/>
          <w:bCs/>
          <w:spacing w:val="-14"/>
          <w:kern w:val="1"/>
          <w:sz w:val="19"/>
          <w:szCs w:val="19"/>
          <w:lang w:val="es-ES"/>
        </w:rPr>
        <w:t xml:space="preserve"> </w:t>
      </w:r>
      <w:r>
        <w:rPr>
          <w:rFonts w:ascii="Trebuchet MS" w:hAnsi="Trebuchet MS" w:cs="Trebuchet MS"/>
          <w:b/>
          <w:bCs/>
          <w:kern w:val="1"/>
          <w:sz w:val="19"/>
          <w:szCs w:val="19"/>
          <w:lang w:val="es-ES"/>
        </w:rPr>
        <w:t xml:space="preserve">88/90 </w:t>
      </w:r>
    </w:p>
    <w:p w14:paraId="5C5D6C0D" w14:textId="62EB306C" w:rsidR="00E676AC" w:rsidRDefault="00E676AC" w:rsidP="00E676AC">
      <w:pPr>
        <w:widowControl w:val="0"/>
        <w:autoSpaceDE w:val="0"/>
        <w:autoSpaceDN w:val="0"/>
        <w:adjustRightInd w:val="0"/>
        <w:spacing w:before="7" w:after="0" w:line="430" w:lineRule="atLeast"/>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PODER EJECUTIVO</w:t>
      </w:r>
      <w:r>
        <w:rPr>
          <w:rFonts w:ascii="Trebuchet MS" w:hAnsi="Trebuchet MS" w:cs="Trebuchet MS"/>
          <w:b/>
          <w:bCs/>
          <w:spacing w:val="-10"/>
          <w:kern w:val="1"/>
          <w:sz w:val="19"/>
          <w:szCs w:val="19"/>
          <w:lang w:val="es-ES"/>
        </w:rPr>
        <w:t xml:space="preserve"> </w:t>
      </w:r>
      <w:r>
        <w:rPr>
          <w:rFonts w:ascii="Trebuchet MS" w:hAnsi="Trebuchet MS" w:cs="Trebuchet MS"/>
          <w:b/>
          <w:bCs/>
          <w:kern w:val="1"/>
          <w:sz w:val="19"/>
          <w:szCs w:val="19"/>
          <w:lang w:val="es-ES"/>
        </w:rPr>
        <w:t>NACIONAL</w:t>
      </w:r>
    </w:p>
    <w:p w14:paraId="7EF3C388" w14:textId="77777777" w:rsidR="00E676AC" w:rsidRDefault="00E676AC" w:rsidP="00E676AC">
      <w:pPr>
        <w:widowControl w:val="0"/>
        <w:autoSpaceDE w:val="0"/>
        <w:autoSpaceDN w:val="0"/>
        <w:adjustRightInd w:val="0"/>
        <w:spacing w:before="5" w:after="0" w:line="47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 xml:space="preserve">SECRETARIA DE TRABAJO </w:t>
      </w:r>
    </w:p>
    <w:p w14:paraId="07070F62" w14:textId="68A1457E" w:rsidR="00E676AC" w:rsidRDefault="00E676AC" w:rsidP="00E676AC">
      <w:pPr>
        <w:widowControl w:val="0"/>
        <w:autoSpaceDE w:val="0"/>
        <w:autoSpaceDN w:val="0"/>
        <w:adjustRightInd w:val="0"/>
        <w:spacing w:before="5" w:after="0" w:line="47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RESOLUCIÓN N° 1317 /</w:t>
      </w:r>
      <w:r>
        <w:rPr>
          <w:rFonts w:ascii="Trebuchet MS" w:hAnsi="Trebuchet MS" w:cs="Trebuchet MS"/>
          <w:b/>
          <w:bCs/>
          <w:spacing w:val="-41"/>
          <w:kern w:val="1"/>
          <w:sz w:val="19"/>
          <w:szCs w:val="19"/>
          <w:lang w:val="es-ES"/>
        </w:rPr>
        <w:t xml:space="preserve"> </w:t>
      </w:r>
      <w:r>
        <w:rPr>
          <w:rFonts w:ascii="Trebuchet MS" w:hAnsi="Trebuchet MS" w:cs="Trebuchet MS"/>
          <w:b/>
          <w:bCs/>
          <w:kern w:val="1"/>
          <w:sz w:val="19"/>
          <w:szCs w:val="19"/>
          <w:lang w:val="es-ES"/>
        </w:rPr>
        <w:t>2008</w:t>
      </w:r>
    </w:p>
    <w:p w14:paraId="34E5E237" w14:textId="77777777" w:rsidR="00E676AC" w:rsidRDefault="00E676AC" w:rsidP="00E676AC">
      <w:pPr>
        <w:widowControl w:val="0"/>
        <w:autoSpaceDE w:val="0"/>
        <w:autoSpaceDN w:val="0"/>
        <w:adjustRightInd w:val="0"/>
        <w:spacing w:before="6" w:after="0" w:line="240" w:lineRule="auto"/>
        <w:ind w:right="-1"/>
        <w:rPr>
          <w:rFonts w:ascii="Times New Roman" w:hAnsi="Times New Roman" w:cs="Times New Roman"/>
          <w:b/>
          <w:bCs/>
          <w:kern w:val="1"/>
          <w:sz w:val="18"/>
          <w:szCs w:val="18"/>
          <w:lang w:val="es-ES"/>
        </w:rPr>
      </w:pPr>
    </w:p>
    <w:p w14:paraId="722439FC" w14:textId="77777777" w:rsidR="00E676AC" w:rsidRDefault="00E676AC" w:rsidP="00E676AC">
      <w:pPr>
        <w:widowControl w:val="0"/>
        <w:autoSpaceDE w:val="0"/>
        <w:autoSpaceDN w:val="0"/>
        <w:adjustRightInd w:val="0"/>
        <w:spacing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VISTO:</w:t>
      </w:r>
    </w:p>
    <w:p w14:paraId="72D168DD" w14:textId="77777777" w:rsidR="00E676AC" w:rsidRDefault="00E676AC" w:rsidP="00E676AC">
      <w:pPr>
        <w:widowControl w:val="0"/>
        <w:autoSpaceDE w:val="0"/>
        <w:autoSpaceDN w:val="0"/>
        <w:adjustRightInd w:val="0"/>
        <w:spacing w:before="9" w:after="0" w:line="240" w:lineRule="auto"/>
        <w:ind w:right="-1"/>
        <w:rPr>
          <w:rFonts w:ascii="Times New Roman" w:hAnsi="Times New Roman" w:cs="Times New Roman"/>
          <w:b/>
          <w:bCs/>
          <w:kern w:val="1"/>
          <w:sz w:val="18"/>
          <w:szCs w:val="18"/>
          <w:lang w:val="es-ES"/>
        </w:rPr>
      </w:pPr>
    </w:p>
    <w:p w14:paraId="66B0CAE9"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expediente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1.252.784/07</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registro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Ministerio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Trabajo,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Empleo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Seguridad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Social,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leyes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14250 (</w:t>
      </w:r>
      <w:proofErr w:type="spellStart"/>
      <w:r>
        <w:rPr>
          <w:rFonts w:ascii="Trebuchet MS" w:hAnsi="Trebuchet MS" w:cs="Trebuchet MS"/>
          <w:kern w:val="1"/>
          <w:sz w:val="19"/>
          <w:szCs w:val="19"/>
          <w:lang w:val="es-ES"/>
        </w:rPr>
        <w:t>t.o</w:t>
      </w:r>
      <w:proofErr w:type="spellEnd"/>
      <w:r>
        <w:rPr>
          <w:rFonts w:ascii="Trebuchet MS" w:hAnsi="Trebuchet MS" w:cs="Trebuchet MS"/>
          <w:kern w:val="1"/>
          <w:sz w:val="19"/>
          <w:szCs w:val="19"/>
          <w:lang w:val="es-ES"/>
        </w:rPr>
        <w:t>.</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2004),</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20744</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w:t>
      </w:r>
      <w:proofErr w:type="spellStart"/>
      <w:r>
        <w:rPr>
          <w:rFonts w:ascii="Trebuchet MS" w:hAnsi="Trebuchet MS" w:cs="Trebuchet MS"/>
          <w:kern w:val="1"/>
          <w:sz w:val="19"/>
          <w:szCs w:val="19"/>
          <w:lang w:val="es-ES"/>
        </w:rPr>
        <w:t>t.o</w:t>
      </w:r>
      <w:proofErr w:type="spellEnd"/>
      <w:r>
        <w:rPr>
          <w:rFonts w:ascii="Trebuchet MS" w:hAnsi="Trebuchet MS" w:cs="Trebuchet MS"/>
          <w:kern w:val="1"/>
          <w:sz w:val="19"/>
          <w:szCs w:val="19"/>
          <w:lang w:val="es-ES"/>
        </w:rPr>
        <w:t>.</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1976)</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sus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modificatorias,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resoluciones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(ST)</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364</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fecha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7</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abril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2008</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907 de fecha 28 de julio de 2008</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y</w:t>
      </w:r>
    </w:p>
    <w:p w14:paraId="27654AC0" w14:textId="77777777" w:rsidR="00E676AC" w:rsidRDefault="00E676AC" w:rsidP="00E676AC">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73F1761F" w14:textId="77777777" w:rsidR="00E676AC" w:rsidRDefault="00E676AC" w:rsidP="00E676AC">
      <w:pPr>
        <w:widowControl w:val="0"/>
        <w:autoSpaceDE w:val="0"/>
        <w:autoSpaceDN w:val="0"/>
        <w:adjustRightInd w:val="0"/>
        <w:spacing w:before="1"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CONSIDERANDO:</w:t>
      </w:r>
    </w:p>
    <w:p w14:paraId="114D8351" w14:textId="77777777" w:rsidR="00E676AC" w:rsidRDefault="00E676AC" w:rsidP="00E676AC">
      <w:pPr>
        <w:widowControl w:val="0"/>
        <w:autoSpaceDE w:val="0"/>
        <w:autoSpaceDN w:val="0"/>
        <w:adjustRightInd w:val="0"/>
        <w:spacing w:before="10" w:after="0" w:line="240" w:lineRule="auto"/>
        <w:ind w:right="-1"/>
        <w:rPr>
          <w:rFonts w:ascii="Times New Roman" w:hAnsi="Times New Roman" w:cs="Times New Roman"/>
          <w:b/>
          <w:bCs/>
          <w:kern w:val="1"/>
          <w:sz w:val="18"/>
          <w:szCs w:val="18"/>
          <w:lang w:val="es-ES"/>
        </w:rPr>
      </w:pPr>
    </w:p>
    <w:p w14:paraId="12288E6A"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 fojas 30/31 del expediente 1.252.784/07, obra el Acuerdo salarial celebrado entre el Sindicato Argentino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Empleados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Obreros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Enseñanza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Privada,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sector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sindical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Asociación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Institutos de Enseñanza Privada, por el sector empresarial, en el marco del convenio colectivo de trabajo 88/1990, conforme lo dispuesto en la ley 14250 de negociación colectiva (</w:t>
      </w:r>
      <w:proofErr w:type="spellStart"/>
      <w:r>
        <w:rPr>
          <w:rFonts w:ascii="Trebuchet MS" w:hAnsi="Trebuchet MS" w:cs="Trebuchet MS"/>
          <w:kern w:val="1"/>
          <w:sz w:val="19"/>
          <w:szCs w:val="19"/>
          <w:lang w:val="es-ES"/>
        </w:rPr>
        <w:t>t.o</w:t>
      </w:r>
      <w:proofErr w:type="spellEnd"/>
      <w:r>
        <w:rPr>
          <w:rFonts w:ascii="Trebuchet MS" w:hAnsi="Trebuchet MS" w:cs="Trebuchet MS"/>
          <w:kern w:val="1"/>
          <w:sz w:val="19"/>
          <w:szCs w:val="19"/>
          <w:lang w:val="es-ES"/>
        </w:rPr>
        <w:t>.</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2004).</w:t>
      </w:r>
    </w:p>
    <w:p w14:paraId="38EC2551" w14:textId="77777777" w:rsidR="00E676AC" w:rsidRDefault="00E676AC" w:rsidP="00E676AC">
      <w:pPr>
        <w:widowControl w:val="0"/>
        <w:autoSpaceDE w:val="0"/>
        <w:autoSpaceDN w:val="0"/>
        <w:adjustRightInd w:val="0"/>
        <w:spacing w:before="6" w:after="0" w:line="240" w:lineRule="auto"/>
        <w:ind w:right="-1"/>
        <w:rPr>
          <w:rFonts w:ascii="Times New Roman" w:hAnsi="Times New Roman" w:cs="Times New Roman"/>
          <w:kern w:val="1"/>
          <w:sz w:val="18"/>
          <w:szCs w:val="18"/>
          <w:lang w:val="es-ES"/>
        </w:rPr>
      </w:pPr>
    </w:p>
    <w:p w14:paraId="56605FBA" w14:textId="77777777" w:rsidR="00E676AC" w:rsidRDefault="00E676AC" w:rsidP="00E676AC">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el Acuerdo mencionado fue homologado por resolución (ST) 364/2008 y registrado bajo el número 258/08, conforme surge de fojas 44/46 y 49, respectivamente.</w:t>
      </w:r>
    </w:p>
    <w:p w14:paraId="4A455177" w14:textId="77777777" w:rsidR="00E676AC" w:rsidRDefault="00E676AC" w:rsidP="00E676AC">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60531579"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 fojas 55 obra la providencia efectuada por la Dirección de Regulaciones del Trabajo, mediante la cual se solicitó a las partes que acompañen la escala salarial del Acuerdo citado en el párrafo precedente, con su respectiva vigencia.</w:t>
      </w:r>
    </w:p>
    <w:p w14:paraId="6E6BBB97" w14:textId="77777777" w:rsidR="00E676AC" w:rsidRDefault="00E676AC" w:rsidP="00E676AC">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36087AA1" w14:textId="77777777" w:rsidR="00E676AC" w:rsidRDefault="00E676AC" w:rsidP="00E676AC">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dicha providencia fue efectivamente notificada según consta a fojas 59/60, habiendo transcurrido más de 30 días a partir de la misma sin que las partes respondan.</w:t>
      </w:r>
    </w:p>
    <w:p w14:paraId="7E55462E" w14:textId="77777777" w:rsidR="00E676AC" w:rsidRDefault="00E676AC" w:rsidP="00E676AC">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28724ECB" w14:textId="77777777" w:rsidR="00E676AC" w:rsidRDefault="00E676AC" w:rsidP="00E676AC">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consecuencia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(ST)</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907/2008,</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emplazó</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partes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signatarias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presentación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 la escala correspondiente al Acuerdo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258/2008.</w:t>
      </w:r>
    </w:p>
    <w:p w14:paraId="444593CB" w14:textId="77777777" w:rsidR="00E676AC" w:rsidRDefault="00E676AC" w:rsidP="00E676AC">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C43A89D" w14:textId="77777777" w:rsidR="00E676AC" w:rsidRDefault="00E676AC" w:rsidP="00E676AC">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atento a ello a fojas 2 del expediente 1.288.365/08, agregado como fojas 78 al principal, obra la escala salarial presentada por la parte sindical.</w:t>
      </w:r>
    </w:p>
    <w:p w14:paraId="0AA86F06" w14:textId="77777777" w:rsidR="00E676AC" w:rsidRDefault="00E676AC" w:rsidP="00E676AC">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7AB7E070"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 fojas 82/84, obra el informe técnico elaborado por la Dirección de Regulaciones del Trabajo dependiente de la Secretaría de Trabajo por el que se indican las constancias y se explicitan los criterios adoptados para el cálculo de la base promedio mensual y del tope indemnizatorio objeto de la presente, cuyos términos se comparten en esta instancia y al cual se remite en orden a la brevedad.</w:t>
      </w:r>
    </w:p>
    <w:p w14:paraId="7B2A2FC8" w14:textId="77777777" w:rsidR="00E676AC" w:rsidRDefault="00E676AC" w:rsidP="00E676AC">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1C77F8AE"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el artículo 245, párrafo 2 de la ley 20744 (</w:t>
      </w:r>
      <w:proofErr w:type="spellStart"/>
      <w:r>
        <w:rPr>
          <w:rFonts w:ascii="Trebuchet MS" w:hAnsi="Trebuchet MS" w:cs="Trebuchet MS"/>
          <w:kern w:val="1"/>
          <w:sz w:val="19"/>
          <w:szCs w:val="19"/>
          <w:lang w:val="es-ES"/>
        </w:rPr>
        <w:t>t.o</w:t>
      </w:r>
      <w:proofErr w:type="spellEnd"/>
      <w:r>
        <w:rPr>
          <w:rFonts w:ascii="Trebuchet MS" w:hAnsi="Trebuchet MS" w:cs="Trebuchet MS"/>
          <w:kern w:val="1"/>
          <w:sz w:val="19"/>
          <w:szCs w:val="19"/>
          <w:lang w:val="es-ES"/>
        </w:rPr>
        <w:t xml:space="preserve"> 1976) y sus modificatorias, le imponen al Ministerio de Trabajo,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Empleo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Seguridad</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Social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obligación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fijar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publicar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promedios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remuneraciones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 topes indemnizatorios aplicables al cálculo de la indemnización que les corresponde a los trabajadores en casos de extinción injustificada del contrato de</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trabajo.</w:t>
      </w:r>
    </w:p>
    <w:p w14:paraId="418BE9C7" w14:textId="77777777" w:rsidR="00E676AC" w:rsidRDefault="00E676AC" w:rsidP="00E676AC">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2F944478"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de conformidad con la citada norma legal, el tope indemnizatorio que se fija por la presente, se determinó triplicando el importe promedio mensual de las remuneraciones de la escala salarial y sus respectivos rubros conexos considerados.</w:t>
      </w:r>
    </w:p>
    <w:p w14:paraId="66138CE1" w14:textId="77777777" w:rsidR="00E676AC" w:rsidRDefault="00E676AC" w:rsidP="00E676AC">
      <w:pPr>
        <w:widowControl w:val="0"/>
        <w:autoSpaceDE w:val="0"/>
        <w:autoSpaceDN w:val="0"/>
        <w:adjustRightInd w:val="0"/>
        <w:spacing w:before="90"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presente se dicta en ejercicio de las atribuciones conferidas en el artículo 245, párrafo 2 de la ley 20744 de contrato de trabajo (</w:t>
      </w:r>
      <w:proofErr w:type="spellStart"/>
      <w:r>
        <w:rPr>
          <w:rFonts w:ascii="Trebuchet MS" w:hAnsi="Trebuchet MS" w:cs="Trebuchet MS"/>
          <w:kern w:val="1"/>
          <w:sz w:val="19"/>
          <w:szCs w:val="19"/>
          <w:lang w:val="es-ES"/>
        </w:rPr>
        <w:t>t.o</w:t>
      </w:r>
      <w:proofErr w:type="spellEnd"/>
      <w:r>
        <w:rPr>
          <w:rFonts w:ascii="Trebuchet MS" w:hAnsi="Trebuchet MS" w:cs="Trebuchet MS"/>
          <w:kern w:val="1"/>
          <w:sz w:val="19"/>
          <w:szCs w:val="19"/>
          <w:lang w:val="es-ES"/>
        </w:rPr>
        <w:t>. 1976), y en el decreto 357 del 21 de febrero de 2002, modificado por su similar 628 del 13 de junio de 2005.</w:t>
      </w:r>
    </w:p>
    <w:p w14:paraId="1710730D" w14:textId="77777777" w:rsidR="00E676AC" w:rsidRDefault="00E676AC" w:rsidP="00E676AC">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618DB8B4" w14:textId="77777777" w:rsidR="00E676AC" w:rsidRDefault="00E676AC" w:rsidP="00E676AC">
      <w:pPr>
        <w:widowControl w:val="0"/>
        <w:autoSpaceDE w:val="0"/>
        <w:autoSpaceDN w:val="0"/>
        <w:adjustRightInd w:val="0"/>
        <w:spacing w:after="0" w:line="220" w:lineRule="exact"/>
        <w:ind w:right="-1"/>
        <w:jc w:val="both"/>
        <w:rPr>
          <w:rFonts w:ascii="Trebuchet MS" w:hAnsi="Trebuchet MS" w:cs="Trebuchet MS"/>
          <w:kern w:val="1"/>
          <w:sz w:val="19"/>
          <w:szCs w:val="19"/>
          <w:lang w:val="es-ES"/>
        </w:rPr>
      </w:pPr>
    </w:p>
    <w:p w14:paraId="6D1A6EFF" w14:textId="77777777" w:rsidR="00E676AC" w:rsidRDefault="00E676AC" w:rsidP="00E676AC">
      <w:pPr>
        <w:widowControl w:val="0"/>
        <w:autoSpaceDE w:val="0"/>
        <w:autoSpaceDN w:val="0"/>
        <w:adjustRightInd w:val="0"/>
        <w:spacing w:after="0" w:line="220" w:lineRule="exact"/>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2A210C19" w14:textId="77777777" w:rsidR="00E676AC" w:rsidRDefault="00E676AC" w:rsidP="00E676AC">
      <w:pPr>
        <w:widowControl w:val="0"/>
        <w:autoSpaceDE w:val="0"/>
        <w:autoSpaceDN w:val="0"/>
        <w:adjustRightInd w:val="0"/>
        <w:spacing w:after="0" w:line="23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LA SECRETARIA DE TRABAJO RESUELVE:</w:t>
      </w:r>
    </w:p>
    <w:p w14:paraId="50D9DE71" w14:textId="77777777" w:rsidR="00E676AC" w:rsidRDefault="00E676AC" w:rsidP="00E676AC">
      <w:pPr>
        <w:widowControl w:val="0"/>
        <w:autoSpaceDE w:val="0"/>
        <w:autoSpaceDN w:val="0"/>
        <w:adjustRightInd w:val="0"/>
        <w:spacing w:before="10" w:after="0" w:line="240" w:lineRule="auto"/>
        <w:ind w:right="-1"/>
        <w:rPr>
          <w:rFonts w:ascii="Times New Roman" w:hAnsi="Times New Roman" w:cs="Times New Roman"/>
          <w:b/>
          <w:bCs/>
          <w:kern w:val="1"/>
          <w:sz w:val="18"/>
          <w:szCs w:val="18"/>
          <w:lang w:val="es-ES"/>
        </w:rPr>
      </w:pPr>
    </w:p>
    <w:p w14:paraId="51377A34"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1 - </w:t>
      </w:r>
      <w:proofErr w:type="spellStart"/>
      <w:r>
        <w:rPr>
          <w:rFonts w:ascii="Trebuchet MS" w:hAnsi="Trebuchet MS" w:cs="Trebuchet MS"/>
          <w:kern w:val="1"/>
          <w:sz w:val="19"/>
          <w:szCs w:val="19"/>
          <w:lang w:val="es-ES"/>
        </w:rPr>
        <w:t>Fíjase</w:t>
      </w:r>
      <w:proofErr w:type="spellEnd"/>
      <w:r>
        <w:rPr>
          <w:rFonts w:ascii="Trebuchet MS" w:hAnsi="Trebuchet MS" w:cs="Trebuchet MS"/>
          <w:kern w:val="1"/>
          <w:sz w:val="19"/>
          <w:szCs w:val="19"/>
          <w:lang w:val="es-ES"/>
        </w:rPr>
        <w:t xml:space="preserve"> el importe promedio de las remuneraciones y el tope indemnizatorio correspondiente al Acuerdo homologado por resolución (ST) 364 de fecha 7 de abril de 2008 y registrado bajo el número 258/08, suscripto entre el Sindicato Argentino de Empleados y Obreros de la Enseñanza Privada, por el sector</w:t>
      </w:r>
      <w:r>
        <w:rPr>
          <w:rFonts w:ascii="Trebuchet MS" w:hAnsi="Trebuchet MS" w:cs="Trebuchet MS"/>
          <w:spacing w:val="-35"/>
          <w:kern w:val="1"/>
          <w:sz w:val="19"/>
          <w:szCs w:val="19"/>
          <w:lang w:val="es-ES"/>
        </w:rPr>
        <w:t xml:space="preserve"> </w:t>
      </w:r>
      <w:r>
        <w:rPr>
          <w:rFonts w:ascii="Trebuchet MS" w:hAnsi="Trebuchet MS" w:cs="Trebuchet MS"/>
          <w:kern w:val="1"/>
          <w:sz w:val="19"/>
          <w:szCs w:val="19"/>
          <w:lang w:val="es-ES"/>
        </w:rPr>
        <w:t>sindical y la Asociación de Institutos de Enseñanza Privada, por el sector empresarial, conforme al detalle que, como Anexo, forma parte integrante de la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presente.</w:t>
      </w:r>
    </w:p>
    <w:p w14:paraId="5857FEF8" w14:textId="77777777" w:rsidR="00E676AC" w:rsidRDefault="00E676AC" w:rsidP="00E676AC">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42DD6761"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2 - Regístrese la presente resolución en el Departamento Despacho de la Dirección de Despacho, Mesa de Entradas y Archivo dependiente de la Subsecretaría de Coordinación. Cumplido ello, pase a la Dirección Nacional de Relaciones del Trabajo a fin de que la División Normas Laborales y Registro General de Convenciones Colectivas y Laudos registre el importe promedio de las remuneraciones y del tope indemnizatorio fijado bajo la presente resolución.</w:t>
      </w:r>
    </w:p>
    <w:p w14:paraId="42D3D4AC" w14:textId="77777777" w:rsidR="00E676AC" w:rsidRDefault="00E676AC" w:rsidP="00E676AC">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53929B8E" w14:textId="77777777" w:rsidR="00E676AC" w:rsidRDefault="00E676AC" w:rsidP="00E676AC">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3 - Remítase copia debidamente autenticada al Departamento Biblioteca para su difusión.</w:t>
      </w:r>
    </w:p>
    <w:p w14:paraId="3A6684F5" w14:textId="77777777" w:rsidR="00E676AC" w:rsidRDefault="00E676AC" w:rsidP="00E676AC">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0A0773D6" w14:textId="77777777" w:rsidR="00E676AC" w:rsidRDefault="00E676AC" w:rsidP="00E676AC">
      <w:pPr>
        <w:widowControl w:val="0"/>
        <w:autoSpaceDE w:val="0"/>
        <w:autoSpaceDN w:val="0"/>
        <w:adjustRightInd w:val="0"/>
        <w:spacing w:after="0" w:line="235" w:lineRule="auto"/>
        <w:ind w:right="-1"/>
        <w:jc w:val="both"/>
        <w:rPr>
          <w:rFonts w:ascii="Times New Roman" w:hAnsi="Times New Roman" w:cs="Times New Roman"/>
          <w:kern w:val="1"/>
          <w:sz w:val="19"/>
          <w:szCs w:val="19"/>
          <w:lang w:val="es-ES"/>
        </w:rPr>
      </w:pPr>
    </w:p>
    <w:p w14:paraId="5AF3A17F" w14:textId="77777777" w:rsidR="00E676AC" w:rsidRDefault="00E676AC" w:rsidP="00E676AC">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4F876D49" w14:textId="77777777" w:rsidR="00E676AC" w:rsidRDefault="00E676AC" w:rsidP="00E676AC">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4 - Gírese a la Dirección de Negociación Colectiva para la notificación a las partes signatarias, posteriormente procédase a la guarda del presente legajo.</w:t>
      </w:r>
    </w:p>
    <w:p w14:paraId="197875CB" w14:textId="77777777" w:rsidR="00E676AC" w:rsidRDefault="00E676AC" w:rsidP="00E676AC">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3D4BB248" w14:textId="77777777" w:rsidR="00E676AC" w:rsidRDefault="00E676AC" w:rsidP="00E676A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5 - Hágase saber que en el supuesto que el Ministerio de Trabajo, Empleo y Seguridad Social no efectúe la publicación de carácter gratuita del importe promedio de las remuneraciones y del tope indemnizatorio fijado por la presente, las partes deberán proceder de acuerdo a lo establecido en el artículo 5 de la ley 14250 (</w:t>
      </w:r>
      <w:proofErr w:type="spellStart"/>
      <w:r>
        <w:rPr>
          <w:rFonts w:ascii="Trebuchet MS" w:hAnsi="Trebuchet MS" w:cs="Trebuchet MS"/>
          <w:kern w:val="1"/>
          <w:sz w:val="19"/>
          <w:szCs w:val="19"/>
          <w:lang w:val="es-ES"/>
        </w:rPr>
        <w:t>t.o</w:t>
      </w:r>
      <w:proofErr w:type="spellEnd"/>
      <w:r>
        <w:rPr>
          <w:rFonts w:ascii="Trebuchet MS" w:hAnsi="Trebuchet MS" w:cs="Trebuchet MS"/>
          <w:kern w:val="1"/>
          <w:sz w:val="19"/>
          <w:szCs w:val="19"/>
          <w:lang w:val="es-ES"/>
        </w:rPr>
        <w:t>. 2004).</w:t>
      </w:r>
    </w:p>
    <w:p w14:paraId="1C033D37" w14:textId="77777777" w:rsidR="00E676AC" w:rsidRDefault="00E676AC" w:rsidP="00E676AC">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3501E47" w14:textId="77777777" w:rsidR="00E676AC" w:rsidRDefault="00E676AC" w:rsidP="00E676AC">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6 - De forma.</w:t>
      </w:r>
    </w:p>
    <w:p w14:paraId="73A66594" w14:textId="77777777" w:rsidR="00E676AC" w:rsidRDefault="00E676AC" w:rsidP="00E676AC">
      <w:pPr>
        <w:widowControl w:val="0"/>
        <w:autoSpaceDE w:val="0"/>
        <w:autoSpaceDN w:val="0"/>
        <w:adjustRightInd w:val="0"/>
        <w:spacing w:before="1" w:after="0" w:line="240" w:lineRule="auto"/>
        <w:ind w:right="-1"/>
        <w:rPr>
          <w:rFonts w:ascii="Times New Roman" w:hAnsi="Times New Roman" w:cs="Times New Roman"/>
          <w:kern w:val="1"/>
          <w:sz w:val="10"/>
          <w:szCs w:val="10"/>
          <w:lang w:val="es-ES"/>
        </w:rPr>
      </w:pPr>
    </w:p>
    <w:p w14:paraId="5193CC29" w14:textId="77777777" w:rsidR="00E676AC" w:rsidRDefault="00E676AC" w:rsidP="00E676AC">
      <w:pPr>
        <w:widowControl w:val="0"/>
        <w:autoSpaceDE w:val="0"/>
        <w:autoSpaceDN w:val="0"/>
        <w:adjustRightInd w:val="0"/>
        <w:spacing w:before="99"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w:t>
      </w:r>
    </w:p>
    <w:p w14:paraId="2E0C223A" w14:textId="77777777" w:rsidR="00E676AC" w:rsidRDefault="00E676AC" w:rsidP="00E676AC">
      <w:pPr>
        <w:widowControl w:val="0"/>
        <w:autoSpaceDE w:val="0"/>
        <w:autoSpaceDN w:val="0"/>
        <w:adjustRightInd w:val="0"/>
        <w:spacing w:after="0" w:line="240" w:lineRule="auto"/>
        <w:ind w:right="-1"/>
        <w:rPr>
          <w:rFonts w:ascii="Times New Roman" w:hAnsi="Times New Roman" w:cs="Times New Roman"/>
          <w:b/>
          <w:bCs/>
          <w:kern w:val="1"/>
          <w:sz w:val="20"/>
          <w:szCs w:val="20"/>
          <w:lang w:val="es-ES"/>
        </w:rPr>
      </w:pPr>
    </w:p>
    <w:p w14:paraId="2289E30A" w14:textId="77777777" w:rsidR="00E676AC" w:rsidRDefault="00E676AC" w:rsidP="00E676AC">
      <w:pPr>
        <w:widowControl w:val="0"/>
        <w:autoSpaceDE w:val="0"/>
        <w:autoSpaceDN w:val="0"/>
        <w:adjustRightInd w:val="0"/>
        <w:spacing w:before="8" w:after="0" w:line="240" w:lineRule="auto"/>
        <w:ind w:right="-1"/>
        <w:rPr>
          <w:rFonts w:ascii="Times New Roman" w:hAnsi="Times New Roman" w:cs="Times New Roman"/>
          <w:b/>
          <w:bCs/>
          <w:kern w:val="1"/>
          <w:sz w:val="17"/>
          <w:szCs w:val="17"/>
          <w:lang w:val="es-ES"/>
        </w:rPr>
      </w:pPr>
    </w:p>
    <w:tbl>
      <w:tblPr>
        <w:tblW w:w="0" w:type="auto"/>
        <w:jc w:val="center"/>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692"/>
        <w:gridCol w:w="1294"/>
        <w:gridCol w:w="1293"/>
        <w:gridCol w:w="1710"/>
      </w:tblGrid>
      <w:tr w:rsidR="00E676AC" w14:paraId="4881740E" w14:textId="77777777" w:rsidTr="00E676AC">
        <w:tblPrEx>
          <w:tblCellMar>
            <w:top w:w="0" w:type="dxa"/>
            <w:bottom w:w="0" w:type="dxa"/>
          </w:tblCellMar>
        </w:tblPrEx>
        <w:trPr>
          <w:jc w:val="center"/>
        </w:trPr>
        <w:tc>
          <w:tcPr>
            <w:tcW w:w="2692" w:type="dxa"/>
            <w:tcBorders>
              <w:top w:val="single" w:sz="18" w:space="0" w:color="auto"/>
              <w:left w:val="single" w:sz="12" w:space="0" w:color="auto"/>
              <w:bottom w:val="single" w:sz="2" w:space="0" w:color="auto"/>
              <w:right w:val="single" w:sz="12" w:space="0" w:color="auto"/>
            </w:tcBorders>
            <w:shd w:val="clear" w:color="auto" w:fill="C0C0C0"/>
            <w:tcMar>
              <w:top w:w="100" w:type="nil"/>
              <w:right w:w="100" w:type="nil"/>
            </w:tcMar>
          </w:tcPr>
          <w:p w14:paraId="1ED7B38D" w14:textId="77777777" w:rsidR="00E676AC" w:rsidRDefault="00E676AC" w:rsidP="00E676AC">
            <w:pPr>
              <w:widowControl w:val="0"/>
              <w:autoSpaceDE w:val="0"/>
              <w:autoSpaceDN w:val="0"/>
              <w:adjustRightInd w:val="0"/>
              <w:spacing w:before="64" w:after="0" w:line="240" w:lineRule="auto"/>
              <w:ind w:right="-1"/>
              <w:rPr>
                <w:rFonts w:ascii="Verdana" w:hAnsi="Verdana" w:cs="Verdana"/>
                <w:b/>
                <w:bCs/>
                <w:kern w:val="1"/>
                <w:sz w:val="15"/>
                <w:szCs w:val="15"/>
                <w:lang w:val="es-ES"/>
              </w:rPr>
            </w:pPr>
            <w:bookmarkStart w:id="0" w:name="_GoBack"/>
            <w:r>
              <w:rPr>
                <w:rFonts w:ascii="Verdana" w:hAnsi="Verdana" w:cs="Verdana"/>
                <w:b/>
                <w:bCs/>
                <w:kern w:val="1"/>
                <w:sz w:val="15"/>
                <w:szCs w:val="15"/>
                <w:lang w:val="es-ES"/>
              </w:rPr>
              <w:t>PARTES SIGNATARIAS</w:t>
            </w:r>
          </w:p>
        </w:tc>
        <w:tc>
          <w:tcPr>
            <w:tcW w:w="1294" w:type="dxa"/>
            <w:tcBorders>
              <w:top w:val="single" w:sz="18" w:space="0" w:color="auto"/>
              <w:left w:val="single" w:sz="12" w:space="0" w:color="auto"/>
              <w:bottom w:val="single" w:sz="2" w:space="0" w:color="auto"/>
              <w:right w:val="single" w:sz="12" w:space="0" w:color="auto"/>
            </w:tcBorders>
            <w:shd w:val="clear" w:color="auto" w:fill="C0C0C0"/>
            <w:tcMar>
              <w:top w:w="100" w:type="nil"/>
              <w:right w:w="100" w:type="nil"/>
            </w:tcMar>
          </w:tcPr>
          <w:p w14:paraId="540FF58C" w14:textId="77777777" w:rsidR="00E676AC" w:rsidRDefault="00E676AC" w:rsidP="00E676AC">
            <w:pPr>
              <w:widowControl w:val="0"/>
              <w:autoSpaceDE w:val="0"/>
              <w:autoSpaceDN w:val="0"/>
              <w:adjustRightInd w:val="0"/>
              <w:spacing w:before="64" w:after="0" w:line="240" w:lineRule="auto"/>
              <w:ind w:right="-1"/>
              <w:jc w:val="center"/>
              <w:rPr>
                <w:rFonts w:ascii="Verdana" w:hAnsi="Verdana" w:cs="Verdana"/>
                <w:b/>
                <w:bCs/>
                <w:kern w:val="1"/>
                <w:sz w:val="15"/>
                <w:szCs w:val="15"/>
                <w:lang w:val="es-ES"/>
              </w:rPr>
            </w:pPr>
            <w:r>
              <w:rPr>
                <w:rFonts w:ascii="Verdana" w:hAnsi="Verdana" w:cs="Verdana"/>
                <w:b/>
                <w:bCs/>
                <w:kern w:val="1"/>
                <w:sz w:val="15"/>
                <w:szCs w:val="15"/>
                <w:lang w:val="es-ES"/>
              </w:rPr>
              <w:t>FECHA DE ENTRADA EN VIGENCIA</w:t>
            </w:r>
          </w:p>
        </w:tc>
        <w:tc>
          <w:tcPr>
            <w:tcW w:w="1293" w:type="dxa"/>
            <w:tcBorders>
              <w:top w:val="single" w:sz="18" w:space="0" w:color="auto"/>
              <w:left w:val="single" w:sz="12" w:space="0" w:color="auto"/>
              <w:bottom w:val="single" w:sz="2" w:space="0" w:color="auto"/>
              <w:right w:val="single" w:sz="12" w:space="0" w:color="auto"/>
            </w:tcBorders>
            <w:shd w:val="clear" w:color="auto" w:fill="C0C0C0"/>
            <w:tcMar>
              <w:top w:w="100" w:type="nil"/>
              <w:right w:w="100" w:type="nil"/>
            </w:tcMar>
          </w:tcPr>
          <w:p w14:paraId="034BE716" w14:textId="77777777" w:rsidR="00E676AC" w:rsidRDefault="00E676AC" w:rsidP="00E676AC">
            <w:pPr>
              <w:widowControl w:val="0"/>
              <w:autoSpaceDE w:val="0"/>
              <w:autoSpaceDN w:val="0"/>
              <w:adjustRightInd w:val="0"/>
              <w:spacing w:before="64" w:after="0" w:line="240" w:lineRule="auto"/>
              <w:ind w:right="-1"/>
              <w:rPr>
                <w:rFonts w:ascii="Verdana" w:hAnsi="Verdana" w:cs="Verdana"/>
                <w:b/>
                <w:bCs/>
                <w:kern w:val="1"/>
                <w:sz w:val="15"/>
                <w:szCs w:val="15"/>
                <w:lang w:val="es-ES"/>
              </w:rPr>
            </w:pPr>
            <w:r>
              <w:rPr>
                <w:rFonts w:ascii="Verdana" w:hAnsi="Verdana" w:cs="Verdana"/>
                <w:b/>
                <w:bCs/>
                <w:kern w:val="1"/>
                <w:sz w:val="15"/>
                <w:szCs w:val="15"/>
                <w:lang w:val="es-ES"/>
              </w:rPr>
              <w:t>BASE PROMEDIO</w:t>
            </w:r>
          </w:p>
        </w:tc>
        <w:tc>
          <w:tcPr>
            <w:tcW w:w="1710" w:type="dxa"/>
            <w:tcBorders>
              <w:top w:val="single" w:sz="18" w:space="0" w:color="auto"/>
              <w:left w:val="single" w:sz="12" w:space="0" w:color="auto"/>
              <w:bottom w:val="single" w:sz="2" w:space="0" w:color="auto"/>
              <w:right w:val="single" w:sz="12" w:space="0" w:color="auto"/>
            </w:tcBorders>
            <w:shd w:val="clear" w:color="auto" w:fill="C0C0C0"/>
            <w:tcMar>
              <w:top w:w="100" w:type="nil"/>
              <w:right w:w="100" w:type="nil"/>
            </w:tcMar>
          </w:tcPr>
          <w:p w14:paraId="11ECE7B3" w14:textId="77777777" w:rsidR="00E676AC" w:rsidRDefault="00E676AC" w:rsidP="00E676AC">
            <w:pPr>
              <w:widowControl w:val="0"/>
              <w:autoSpaceDE w:val="0"/>
              <w:autoSpaceDN w:val="0"/>
              <w:adjustRightInd w:val="0"/>
              <w:spacing w:before="64" w:after="0" w:line="240" w:lineRule="auto"/>
              <w:ind w:right="-1"/>
              <w:rPr>
                <w:rFonts w:ascii="Verdana" w:hAnsi="Verdana" w:cs="Verdana"/>
                <w:b/>
                <w:bCs/>
                <w:kern w:val="1"/>
                <w:sz w:val="15"/>
                <w:szCs w:val="15"/>
                <w:lang w:val="es-ES"/>
              </w:rPr>
            </w:pPr>
            <w:r>
              <w:rPr>
                <w:rFonts w:ascii="Verdana" w:hAnsi="Verdana" w:cs="Verdana"/>
                <w:b/>
                <w:bCs/>
                <w:kern w:val="1"/>
                <w:sz w:val="15"/>
                <w:szCs w:val="15"/>
                <w:lang w:val="es-ES"/>
              </w:rPr>
              <w:t>TOPE INDEMNIZATORIO</w:t>
            </w:r>
          </w:p>
        </w:tc>
      </w:tr>
      <w:tr w:rsidR="00E676AC" w14:paraId="5C18AF5F" w14:textId="77777777" w:rsidTr="00E676AC">
        <w:tblPrEx>
          <w:tblBorders>
            <w:top w:val="none" w:sz="0" w:space="0" w:color="auto"/>
            <w:bottom w:val="single" w:sz="18" w:space="0" w:color="auto"/>
          </w:tblBorders>
          <w:tblCellMar>
            <w:top w:w="0" w:type="dxa"/>
            <w:bottom w:w="0" w:type="dxa"/>
          </w:tblCellMar>
        </w:tblPrEx>
        <w:trPr>
          <w:jc w:val="center"/>
        </w:trPr>
        <w:tc>
          <w:tcPr>
            <w:tcW w:w="2692" w:type="dxa"/>
            <w:tcBorders>
              <w:top w:val="single" w:sz="2" w:space="0" w:color="auto"/>
              <w:left w:val="single" w:sz="12" w:space="0" w:color="auto"/>
              <w:bottom w:val="single" w:sz="18" w:space="0" w:color="auto"/>
              <w:right w:val="single" w:sz="12" w:space="0" w:color="auto"/>
            </w:tcBorders>
            <w:tcMar>
              <w:top w:w="100" w:type="nil"/>
              <w:right w:w="100" w:type="nil"/>
            </w:tcMar>
          </w:tcPr>
          <w:p w14:paraId="294E0625" w14:textId="77777777" w:rsidR="00E676AC" w:rsidRDefault="00E676AC" w:rsidP="00E676AC">
            <w:pPr>
              <w:widowControl w:val="0"/>
              <w:autoSpaceDE w:val="0"/>
              <w:autoSpaceDN w:val="0"/>
              <w:adjustRightInd w:val="0"/>
              <w:spacing w:before="48" w:after="0" w:line="240" w:lineRule="auto"/>
              <w:ind w:right="-1"/>
              <w:rPr>
                <w:rFonts w:ascii="Verdana" w:hAnsi="Verdana" w:cs="Verdana"/>
                <w:kern w:val="1"/>
                <w:sz w:val="14"/>
                <w:szCs w:val="14"/>
                <w:lang w:val="es-ES"/>
              </w:rPr>
            </w:pPr>
            <w:r>
              <w:rPr>
                <w:rFonts w:ascii="Verdana" w:hAnsi="Verdana" w:cs="Verdana"/>
                <w:kern w:val="1"/>
                <w:sz w:val="14"/>
                <w:szCs w:val="14"/>
                <w:lang w:val="es-ES"/>
              </w:rPr>
              <w:t>SINDICATO ARGENTINO DE EMPLEADOS Y OBREROS DE LA ENSEÑANZA PRIVADA c/ASOCIACIÓN DE INSTITUTOS DE ENSEÑANZA PRIVADA</w:t>
            </w:r>
          </w:p>
          <w:p w14:paraId="314E70BD" w14:textId="77777777" w:rsidR="00E676AC" w:rsidRDefault="00E676AC" w:rsidP="00E676AC">
            <w:pPr>
              <w:widowControl w:val="0"/>
              <w:autoSpaceDE w:val="0"/>
              <w:autoSpaceDN w:val="0"/>
              <w:adjustRightInd w:val="0"/>
              <w:spacing w:before="6" w:after="0" w:line="240" w:lineRule="auto"/>
              <w:ind w:right="-1"/>
              <w:rPr>
                <w:rFonts w:ascii="Verdana" w:hAnsi="Verdana" w:cs="Verdana"/>
                <w:kern w:val="1"/>
                <w:sz w:val="14"/>
                <w:szCs w:val="14"/>
                <w:lang w:val="es-ES"/>
              </w:rPr>
            </w:pPr>
            <w:r>
              <w:rPr>
                <w:rFonts w:ascii="Verdana" w:hAnsi="Verdana" w:cs="Verdana"/>
                <w:kern w:val="1"/>
                <w:sz w:val="14"/>
                <w:szCs w:val="14"/>
                <w:lang w:val="es-ES"/>
              </w:rPr>
              <w:t>CCT 88/1990</w:t>
            </w:r>
          </w:p>
        </w:tc>
        <w:tc>
          <w:tcPr>
            <w:tcW w:w="1294" w:type="dxa"/>
            <w:tcBorders>
              <w:top w:val="single" w:sz="2" w:space="0" w:color="auto"/>
              <w:left w:val="single" w:sz="12" w:space="0" w:color="auto"/>
              <w:bottom w:val="single" w:sz="18" w:space="0" w:color="auto"/>
              <w:right w:val="single" w:sz="12" w:space="0" w:color="auto"/>
            </w:tcBorders>
            <w:tcMar>
              <w:top w:w="100" w:type="nil"/>
              <w:right w:w="100" w:type="nil"/>
            </w:tcMar>
          </w:tcPr>
          <w:p w14:paraId="2947DE73" w14:textId="77777777" w:rsidR="00E676AC" w:rsidRDefault="00E676AC" w:rsidP="00E676AC">
            <w:pPr>
              <w:widowControl w:val="0"/>
              <w:autoSpaceDE w:val="0"/>
              <w:autoSpaceDN w:val="0"/>
              <w:adjustRightInd w:val="0"/>
              <w:spacing w:before="48" w:after="0" w:line="240" w:lineRule="auto"/>
              <w:ind w:right="-1"/>
              <w:rPr>
                <w:rFonts w:ascii="Verdana" w:hAnsi="Verdana" w:cs="Verdana"/>
                <w:kern w:val="1"/>
                <w:sz w:val="14"/>
                <w:szCs w:val="14"/>
                <w:lang w:val="es-ES"/>
              </w:rPr>
            </w:pPr>
            <w:r>
              <w:rPr>
                <w:rFonts w:ascii="Verdana" w:hAnsi="Verdana" w:cs="Verdana"/>
                <w:kern w:val="1"/>
                <w:sz w:val="14"/>
                <w:szCs w:val="14"/>
                <w:lang w:val="es-ES"/>
              </w:rPr>
              <w:t>1/3/2008</w:t>
            </w:r>
          </w:p>
        </w:tc>
        <w:tc>
          <w:tcPr>
            <w:tcW w:w="1293" w:type="dxa"/>
            <w:tcBorders>
              <w:top w:val="single" w:sz="2" w:space="0" w:color="auto"/>
              <w:left w:val="single" w:sz="12" w:space="0" w:color="auto"/>
              <w:bottom w:val="single" w:sz="18" w:space="0" w:color="auto"/>
              <w:right w:val="single" w:sz="12" w:space="0" w:color="auto"/>
            </w:tcBorders>
            <w:tcMar>
              <w:top w:w="100" w:type="nil"/>
              <w:right w:w="100" w:type="nil"/>
            </w:tcMar>
          </w:tcPr>
          <w:p w14:paraId="452DA8CF" w14:textId="77777777" w:rsidR="00E676AC" w:rsidRDefault="00E676AC" w:rsidP="00E676AC">
            <w:pPr>
              <w:widowControl w:val="0"/>
              <w:autoSpaceDE w:val="0"/>
              <w:autoSpaceDN w:val="0"/>
              <w:adjustRightInd w:val="0"/>
              <w:spacing w:before="48" w:after="0" w:line="240" w:lineRule="auto"/>
              <w:ind w:right="-1"/>
              <w:rPr>
                <w:rFonts w:ascii="Verdana" w:hAnsi="Verdana" w:cs="Verdana"/>
                <w:kern w:val="1"/>
                <w:sz w:val="14"/>
                <w:szCs w:val="14"/>
                <w:lang w:val="es-ES"/>
              </w:rPr>
            </w:pPr>
            <w:r>
              <w:rPr>
                <w:rFonts w:ascii="Verdana" w:hAnsi="Verdana" w:cs="Verdana"/>
                <w:kern w:val="1"/>
                <w:sz w:val="14"/>
                <w:szCs w:val="14"/>
                <w:lang w:val="es-ES"/>
              </w:rPr>
              <w:t>$ 1.661,53</w:t>
            </w:r>
          </w:p>
        </w:tc>
        <w:tc>
          <w:tcPr>
            <w:tcW w:w="1710" w:type="dxa"/>
            <w:tcBorders>
              <w:top w:val="single" w:sz="2" w:space="0" w:color="auto"/>
              <w:left w:val="single" w:sz="12" w:space="0" w:color="auto"/>
              <w:bottom w:val="single" w:sz="18" w:space="0" w:color="auto"/>
              <w:right w:val="single" w:sz="12" w:space="0" w:color="auto"/>
            </w:tcBorders>
            <w:tcMar>
              <w:top w:w="100" w:type="nil"/>
              <w:right w:w="100" w:type="nil"/>
            </w:tcMar>
          </w:tcPr>
          <w:p w14:paraId="03B1EE89" w14:textId="77777777" w:rsidR="00E676AC" w:rsidRDefault="00E676AC" w:rsidP="00E676AC">
            <w:pPr>
              <w:widowControl w:val="0"/>
              <w:autoSpaceDE w:val="0"/>
              <w:autoSpaceDN w:val="0"/>
              <w:adjustRightInd w:val="0"/>
              <w:spacing w:before="48" w:after="0" w:line="240" w:lineRule="auto"/>
              <w:ind w:right="-1"/>
              <w:rPr>
                <w:rFonts w:ascii="Verdana" w:hAnsi="Verdana" w:cs="Verdana"/>
                <w:kern w:val="1"/>
                <w:sz w:val="14"/>
                <w:szCs w:val="14"/>
                <w:lang w:val="es-ES"/>
              </w:rPr>
            </w:pPr>
            <w:r>
              <w:rPr>
                <w:rFonts w:ascii="Verdana" w:hAnsi="Verdana" w:cs="Verdana"/>
                <w:kern w:val="1"/>
                <w:sz w:val="14"/>
                <w:szCs w:val="14"/>
                <w:lang w:val="es-ES"/>
              </w:rPr>
              <w:t>$ 4.984,59</w:t>
            </w:r>
          </w:p>
        </w:tc>
      </w:tr>
      <w:bookmarkEnd w:id="0"/>
    </w:tbl>
    <w:p w14:paraId="3A0CB2CB" w14:textId="77777777" w:rsidR="00E676AC" w:rsidRDefault="00E676AC" w:rsidP="00E676AC">
      <w:pPr>
        <w:widowControl w:val="0"/>
        <w:autoSpaceDE w:val="0"/>
        <w:autoSpaceDN w:val="0"/>
        <w:adjustRightInd w:val="0"/>
        <w:spacing w:after="0" w:line="240" w:lineRule="auto"/>
        <w:ind w:right="-1"/>
        <w:rPr>
          <w:rFonts w:ascii="Times New Roman" w:hAnsi="Times New Roman" w:cs="Times New Roman"/>
          <w:b/>
          <w:bCs/>
          <w:kern w:val="1"/>
          <w:sz w:val="20"/>
          <w:szCs w:val="20"/>
          <w:lang w:val="es-ES"/>
        </w:rPr>
      </w:pPr>
    </w:p>
    <w:p w14:paraId="1433E313" w14:textId="77777777" w:rsidR="00E676AC" w:rsidRDefault="00E676AC" w:rsidP="00E676AC">
      <w:pPr>
        <w:widowControl w:val="0"/>
        <w:autoSpaceDE w:val="0"/>
        <w:autoSpaceDN w:val="0"/>
        <w:adjustRightInd w:val="0"/>
        <w:spacing w:before="8" w:after="0" w:line="240" w:lineRule="auto"/>
        <w:ind w:right="-1"/>
        <w:rPr>
          <w:rFonts w:ascii="Times New Roman" w:hAnsi="Times New Roman" w:cs="Times New Roman"/>
          <w:b/>
          <w:bCs/>
          <w:kern w:val="1"/>
          <w:sz w:val="24"/>
          <w:szCs w:val="24"/>
          <w:lang w:val="es-ES"/>
        </w:rPr>
      </w:pPr>
    </w:p>
    <w:p w14:paraId="259B14C3" w14:textId="77777777" w:rsidR="00E676AC" w:rsidRDefault="00E676AC" w:rsidP="00E676AC">
      <w:pPr>
        <w:widowControl w:val="0"/>
        <w:autoSpaceDE w:val="0"/>
        <w:autoSpaceDN w:val="0"/>
        <w:adjustRightInd w:val="0"/>
        <w:spacing w:before="99"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Expediente 1.252.784/07</w:t>
      </w:r>
    </w:p>
    <w:p w14:paraId="497853E8" w14:textId="77777777" w:rsidR="00E676AC" w:rsidRDefault="00E676AC" w:rsidP="00E676AC">
      <w:pPr>
        <w:widowControl w:val="0"/>
        <w:autoSpaceDE w:val="0"/>
        <w:autoSpaceDN w:val="0"/>
        <w:adjustRightInd w:val="0"/>
        <w:spacing w:before="111" w:after="0" w:line="240" w:lineRule="auto"/>
        <w:ind w:right="-1"/>
        <w:jc w:val="right"/>
        <w:rPr>
          <w:rFonts w:ascii="Trebuchet MS" w:hAnsi="Trebuchet MS" w:cs="Trebuchet MS"/>
          <w:kern w:val="1"/>
          <w:sz w:val="19"/>
          <w:szCs w:val="19"/>
          <w:lang w:val="es-ES"/>
        </w:rPr>
      </w:pPr>
      <w:r>
        <w:rPr>
          <w:rFonts w:ascii="Trebuchet MS" w:hAnsi="Trebuchet MS" w:cs="Trebuchet MS"/>
          <w:kern w:val="1"/>
          <w:sz w:val="19"/>
          <w:szCs w:val="19"/>
          <w:lang w:val="es-ES"/>
        </w:rPr>
        <w:t>Buenos Aires, 1 de octubre de 2008</w:t>
      </w:r>
    </w:p>
    <w:p w14:paraId="2837C7AB" w14:textId="77777777" w:rsidR="00E676AC" w:rsidRDefault="00E676AC" w:rsidP="00E676AC">
      <w:pPr>
        <w:widowControl w:val="0"/>
        <w:autoSpaceDE w:val="0"/>
        <w:autoSpaceDN w:val="0"/>
        <w:adjustRightInd w:val="0"/>
        <w:spacing w:before="78" w:after="0" w:line="235"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De conformidad con lo ordenado en la resolución (ST) 1317/2008 se ha tomado razón del tope indemnizatorio calculado en el expediente de referencia, quedando registrado con el número 411/2008.</w:t>
      </w:r>
    </w:p>
    <w:p w14:paraId="6CDB0543" w14:textId="39F7095A" w:rsidR="00592F1B" w:rsidRPr="00AC3BA6" w:rsidRDefault="00592F1B" w:rsidP="00E676AC">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53D64"/>
    <w:rsid w:val="00AC3BA6"/>
    <w:rsid w:val="00B21F6A"/>
    <w:rsid w:val="00B64518"/>
    <w:rsid w:val="00B6751E"/>
    <w:rsid w:val="00B91930"/>
    <w:rsid w:val="00E676AC"/>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4390</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2021-05-28T13:18:00Z</dcterms:created>
  <dcterms:modified xsi:type="dcterms:W3CDTF">2021-05-28T13:18:00Z</dcterms:modified>
</cp:coreProperties>
</file>