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359E9" w14:textId="77777777" w:rsidR="00DD3EBC" w:rsidRDefault="00DD3EBC" w:rsidP="00DD3EB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103D0C00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1021300" w14:textId="77777777" w:rsidR="00DD3EBC" w:rsidRDefault="00DD3EBC" w:rsidP="00DD3EB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3403955B" w14:textId="77777777" w:rsidR="00DD3EBC" w:rsidRDefault="00DD3EBC" w:rsidP="00DD3EBC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ED TÉC PROF: CONDICIONES DE HIGIENE Y SEGURIDAD </w:t>
      </w:r>
    </w:p>
    <w:p w14:paraId="179FA6EB" w14:textId="08858360" w:rsidR="00DD3EBC" w:rsidRDefault="00DD3EBC" w:rsidP="00DD3EBC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62D33686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 Nº 145/11</w:t>
      </w:r>
    </w:p>
    <w:p w14:paraId="5BDF9283" w14:textId="77777777" w:rsidR="00DD3EBC" w:rsidRDefault="00DD3EBC" w:rsidP="00DD3EBC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2B0491A5" w14:textId="77777777" w:rsidR="00DD3EBC" w:rsidRDefault="00DD3EBC" w:rsidP="00DD3EBC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31 de agosto de 2011</w:t>
      </w:r>
    </w:p>
    <w:p w14:paraId="6954298D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5CCAF26B" w14:textId="77777777" w:rsidR="00DD3EBC" w:rsidRDefault="00DD3EBC" w:rsidP="00DD3EB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7"/>
          <w:szCs w:val="17"/>
          <w:lang w:val="es-ES"/>
        </w:rPr>
      </w:pPr>
    </w:p>
    <w:p w14:paraId="70C2D7CC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VISTO </w:t>
      </w:r>
      <w:r>
        <w:rPr>
          <w:rFonts w:ascii="Trebuchet MS" w:hAnsi="Trebuchet MS" w:cs="Trebuchet MS"/>
          <w:sz w:val="20"/>
          <w:szCs w:val="20"/>
          <w:lang w:val="es-ES"/>
        </w:rPr>
        <w:t>la Ley de Educación Técnico Profesional N° 26.058 y la Resolución CFE N° 62/08 y,</w:t>
      </w:r>
    </w:p>
    <w:p w14:paraId="7DDDA0A5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A68DDBE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640F88FB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los objetivos enunciados en la Ley Nº 26.058 refieren a la necesidad de alcanzar mayores niveles de equidad, calidad, eficiencia y efectividad de la Educación Técnico Profesional, a través del fortalecimiento y mejora continua de las instituciones y de los programas de educación técnico profesional, en el marco de políticas nacionales y estrategias de carácter federal, que integren las particularidades y diversidades jurisdiccionales.</w:t>
      </w:r>
    </w:p>
    <w:p w14:paraId="4306DF8C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9BAD9F1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Nº 26.058 crea el Fondo Nacional para la Educación Técnico Profesional, con la finalidad de favorecer la inversión necesaria para dar cumplimiento a los objetivos y propósitos enunciados en el considerando precedente, cuyos recursos se aplican a diversas líneas de acción.</w:t>
      </w:r>
    </w:p>
    <w:p w14:paraId="3ED1B02E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D60A9E8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experiencia recogida hasta la fecha aconseja incorporar nuevos componentes de las líneas de acción ya implementadas e introducir modificaciones en los montos de inversión establecidos como máximos para ciertas líneas del Programa de Mejora Continua de la Calidad de la Educación Técnico</w:t>
      </w:r>
      <w:r>
        <w:rPr>
          <w:rFonts w:ascii="Trebuchet MS" w:hAnsi="Trebuchet MS" w:cs="Trebuchet MS"/>
          <w:spacing w:val="-2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Profesional.</w:t>
      </w:r>
    </w:p>
    <w:p w14:paraId="5062F0E9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EC10D5B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MINISTERIO DE EDUCACIÓN DE LA NACIÓN, en acuerdo con el CONSEJO FEDERAL DE EDUCACIÓN, debe</w:t>
      </w:r>
    </w:p>
    <w:p w14:paraId="4F2A5FC8" w14:textId="77777777" w:rsidR="00DD3EBC" w:rsidRDefault="00DD3EBC" w:rsidP="00DD3EB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establecer las políticas, los criterios, las estrategias y los procedimientos que orientan y definen la aplicación de la Ley de Educación Técnico Profesional.</w:t>
      </w:r>
    </w:p>
    <w:p w14:paraId="27A96216" w14:textId="77777777" w:rsidR="00DD3EBC" w:rsidRDefault="00DD3EBC" w:rsidP="00DD3EB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824A515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medida se adopta con el voto afirmativo de todos los miembros de esta Asamblea Federal, a excepción de las provincias de Corrientes, Chubut, Río Negro y San Juan, por ausencia de sus representantes.</w:t>
      </w:r>
    </w:p>
    <w:p w14:paraId="20DDEE39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D08C124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3E68A5F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050DC003" w14:textId="77777777" w:rsidR="00DD3EBC" w:rsidRDefault="00DD3EBC" w:rsidP="00DD3EB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056F8B79" w14:textId="7B8BE729" w:rsidR="00DD3EBC" w:rsidRPr="00DD3EBC" w:rsidRDefault="00DD3EBC" w:rsidP="00DD3EB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XXXVI ASAMBLEA DEL CONSEJO FEDERAL DE EDUCACIÓN RESUELVE:</w:t>
      </w:r>
    </w:p>
    <w:p w14:paraId="234646CC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A16CF88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1°.-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Incorporar en el Anexo I de la Resolución CFE N° 62/08, Capítulo IV. Líneas de Acción, apartado 46, inciso f), el componente: “Asesoramiento, asistencia técnica y capacitación en normativas bromatológicas y de bioseguridad, en laboratorios, talleres y espacios productivos”, en los términos indicados en el Anexo I de la presente Resolución.</w:t>
      </w:r>
    </w:p>
    <w:p w14:paraId="382482ED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BBF94DD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Introducir modificaciones en el Anexo I de la Resolución CFE N° 62/08, Capítulo IV. Líneas de Acción, apartado 46, incisos f) y g), relativas a los componentes: “Condiciones de higiene y seguridad en talleres, laboratorios y espacios productivos en que se desarrollan las prácticas pre profesionales y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profesionalizantes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” y “Acondicionamiento edilicio”, en los términos indicados en el Anexo I de la presente Resolución.</w:t>
      </w:r>
    </w:p>
    <w:p w14:paraId="2FBEC92A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53812DE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ARTICULO 3°.-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Regístrese, comuníquese, notifíquese a los integrantes del CONSEJO FEDERAL DE EDUCACIÓN y cumplido,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archívese.</w:t>
      </w:r>
    </w:p>
    <w:p w14:paraId="1338BAD9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Fdo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Prof. Alberto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Ministro de Educación de la Nación</w:t>
      </w:r>
    </w:p>
    <w:p w14:paraId="0264D567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Prof. Domingo de Cara – Secretario General del Consejo Federal de Educación</w:t>
      </w:r>
    </w:p>
    <w:p w14:paraId="41301950" w14:textId="77777777" w:rsidR="00DD3EBC" w:rsidRDefault="00DD3EBC" w:rsidP="00DD3EBC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6D47F0FF" w14:textId="77777777" w:rsidR="00DD3EBC" w:rsidRDefault="00DD3EBC" w:rsidP="00DD3EBC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715B773A" w14:textId="77777777" w:rsidR="00DD3EBC" w:rsidRDefault="00DD3EBC" w:rsidP="00DD3EBC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ANEXO</w:t>
      </w:r>
    </w:p>
    <w:p w14:paraId="5CF9EFB8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B6E5C27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Resolución CFE Nº 145/11</w:t>
      </w:r>
    </w:p>
    <w:p w14:paraId="53D23D1A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437EEEE1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779EFECF" w14:textId="77777777" w:rsidR="00DD3EBC" w:rsidRDefault="00DD3EBC" w:rsidP="00DD3EB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MODIFICACIONES AL PROGRAMA MEJORA CONTINUA DE LA CALIDAD DE LA EDUCACION TECNICO PROFESIONAL</w:t>
      </w:r>
    </w:p>
    <w:p w14:paraId="29A23992" w14:textId="77777777" w:rsidR="00DD3EBC" w:rsidRDefault="00DD3EBC" w:rsidP="00DD3EB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4F875EF2" w14:textId="77777777" w:rsidR="00DD3EBC" w:rsidRDefault="00DD3EBC" w:rsidP="00DD3EBC">
      <w:pPr>
        <w:widowControl w:val="0"/>
        <w:numPr>
          <w:ilvl w:val="0"/>
          <w:numId w:val="12"/>
        </w:numPr>
        <w:tabs>
          <w:tab w:val="left" w:pos="393"/>
        </w:tabs>
        <w:autoSpaceDE w:val="0"/>
        <w:autoSpaceDN w:val="0"/>
        <w:adjustRightInd w:val="0"/>
        <w:spacing w:before="1"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1-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 xml:space="preserve">Incorporación en la línea de acción “Condiciones de Higiene y Seguridad en talleres, laboratorios y espacios productivos en el que se desarrollan las prácticas pre profesionales y </w:t>
      </w:r>
      <w:proofErr w:type="spellStart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profesionalizantes</w:t>
      </w:r>
      <w:proofErr w:type="spellEnd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” el componente “Asesoramiento, Asistencia Técnica y Capacitación en Normativas Bromatológicas y de Bioseguridad, en laboratorios, talleres y espacios</w:t>
      </w:r>
      <w:r>
        <w:rPr>
          <w:rFonts w:ascii="Trebuchet MS" w:hAnsi="Trebuchet MS" w:cs="Trebuchet MS"/>
          <w:b/>
          <w:bCs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productivos”.</w:t>
      </w:r>
    </w:p>
    <w:p w14:paraId="175239A4" w14:textId="77777777" w:rsidR="00DD3EBC" w:rsidRDefault="00DD3EBC" w:rsidP="00DD3EB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 través de este componente se podrá contratar un profesional acreditado según los organismos de control nacionales, provinciales o municipales que sean de aplicación, para brindar, entre otros, los siguientes servicios de asesoramiento, capacitación y asistencia técnica:</w:t>
      </w:r>
    </w:p>
    <w:p w14:paraId="487A063E" w14:textId="77777777" w:rsidR="00DD3EBC" w:rsidRDefault="00DD3EBC" w:rsidP="00DD3EBC">
      <w:pPr>
        <w:widowControl w:val="0"/>
        <w:numPr>
          <w:ilvl w:val="1"/>
          <w:numId w:val="13"/>
        </w:numPr>
        <w:tabs>
          <w:tab w:val="left" w:pos="1061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1-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Evaluación de contaminación bacteriológica en salas de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industria,</w:t>
      </w:r>
    </w:p>
    <w:p w14:paraId="0C4E652C" w14:textId="77777777" w:rsidR="00DD3EBC" w:rsidRDefault="00DD3EBC" w:rsidP="00DD3EBC">
      <w:pPr>
        <w:widowControl w:val="0"/>
        <w:numPr>
          <w:ilvl w:val="1"/>
          <w:numId w:val="13"/>
        </w:numPr>
        <w:tabs>
          <w:tab w:val="left" w:pos="1099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2-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Evaluación de áreas limpias en laboratorios de transformación de alimentos y de producción y conservación de semen y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embriones</w:t>
      </w:r>
    </w:p>
    <w:p w14:paraId="368C0AFF" w14:textId="77777777" w:rsidR="00DD3EBC" w:rsidRDefault="00DD3EBC" w:rsidP="00DD3EBC">
      <w:pPr>
        <w:widowControl w:val="0"/>
        <w:numPr>
          <w:ilvl w:val="1"/>
          <w:numId w:val="13"/>
        </w:numPr>
        <w:tabs>
          <w:tab w:val="left" w:pos="1178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3-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Control de lavado y limpieza de equipos involucrados en los diferentes procesos de industrialización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alimentaria</w:t>
      </w:r>
    </w:p>
    <w:p w14:paraId="358EB373" w14:textId="77777777" w:rsidR="00DD3EBC" w:rsidRDefault="00DD3EBC" w:rsidP="00DD3EBC">
      <w:pPr>
        <w:widowControl w:val="0"/>
        <w:numPr>
          <w:ilvl w:val="1"/>
          <w:numId w:val="13"/>
        </w:numPr>
        <w:tabs>
          <w:tab w:val="left" w:pos="1091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4-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Buenas prácticas de manipulación de alimentos (normativas, código alimentario, habilitación de SENASA,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etc.)</w:t>
      </w:r>
    </w:p>
    <w:p w14:paraId="3E872250" w14:textId="77777777" w:rsidR="00DD3EBC" w:rsidRDefault="00DD3EBC" w:rsidP="00DD3EBC">
      <w:pPr>
        <w:widowControl w:val="0"/>
        <w:numPr>
          <w:ilvl w:val="1"/>
          <w:numId w:val="13"/>
        </w:numPr>
        <w:tabs>
          <w:tab w:val="left" w:pos="1061"/>
        </w:tabs>
        <w:autoSpaceDE w:val="0"/>
        <w:autoSpaceDN w:val="0"/>
        <w:adjustRightInd w:val="0"/>
        <w:spacing w:after="0" w:line="232" w:lineRule="exact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5-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Elaboración de material didáctico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específico</w:t>
      </w:r>
    </w:p>
    <w:p w14:paraId="160E0A19" w14:textId="2C98CB53" w:rsidR="00DD3EBC" w:rsidRPr="00DD3EBC" w:rsidRDefault="00DD3EBC" w:rsidP="00DD3EBC">
      <w:pPr>
        <w:widowControl w:val="0"/>
        <w:numPr>
          <w:ilvl w:val="1"/>
          <w:numId w:val="13"/>
        </w:numPr>
        <w:tabs>
          <w:tab w:val="left" w:pos="1061"/>
        </w:tabs>
        <w:autoSpaceDE w:val="0"/>
        <w:autoSpaceDN w:val="0"/>
        <w:adjustRightInd w:val="0"/>
        <w:spacing w:after="0" w:line="232" w:lineRule="exact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6-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 w:rsidRPr="00DD3EBC">
        <w:rPr>
          <w:rFonts w:ascii="Trebuchet MS" w:hAnsi="Trebuchet MS" w:cs="Trebuchet MS"/>
          <w:kern w:val="1"/>
          <w:sz w:val="20"/>
          <w:szCs w:val="20"/>
          <w:lang w:val="es-ES"/>
        </w:rPr>
        <w:t>Indumentaria y metodología de uso para la higiene y seguridad personal en el</w:t>
      </w:r>
      <w:r w:rsidRPr="00DD3EBC">
        <w:rPr>
          <w:rFonts w:ascii="Trebuchet MS" w:hAnsi="Trebuchet MS" w:cs="Trebuchet MS"/>
          <w:spacing w:val="-28"/>
          <w:kern w:val="1"/>
          <w:sz w:val="20"/>
          <w:szCs w:val="20"/>
          <w:lang w:val="es-ES"/>
        </w:rPr>
        <w:t xml:space="preserve"> </w:t>
      </w:r>
      <w:r w:rsidRPr="00DD3EBC">
        <w:rPr>
          <w:rFonts w:ascii="Trebuchet MS" w:hAnsi="Trebuchet MS" w:cs="Trebuchet MS"/>
          <w:kern w:val="1"/>
          <w:sz w:val="20"/>
          <w:szCs w:val="20"/>
          <w:lang w:val="es-ES"/>
        </w:rPr>
        <w:t>trabajo.</w:t>
      </w:r>
    </w:p>
    <w:p w14:paraId="33A62DBC" w14:textId="77777777" w:rsidR="00DD3EBC" w:rsidRDefault="00DD3EBC" w:rsidP="00DD3EB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Se financiará hasta un monto de $ 18.000 para la primera intervención (elaboración de un plan de 12 meses de duración) y hasta $ 9.000 para la intervención complementaria (mantenimiento y actualización de los niveles de cumplimiento de la normativa respectiva logrados en la primera intervención). Se contemplará, cuando así resulte necesario, hasta un 20% adicional en concepto de gastos de traslado. Corresponde utilizar el formulario F 06 D.</w:t>
      </w:r>
    </w:p>
    <w:p w14:paraId="0935582C" w14:textId="77777777" w:rsidR="00DD3EBC" w:rsidRDefault="00DD3EBC" w:rsidP="00DD3EB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E843F6A" w14:textId="77777777" w:rsidR="00DD3EBC" w:rsidRDefault="00DD3EBC" w:rsidP="00DD3EBC">
      <w:pPr>
        <w:widowControl w:val="0"/>
        <w:tabs>
          <w:tab w:val="left" w:pos="43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2.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 xml:space="preserve">Cambios a introducir en la línea de acción “Condiciones de Higiene y Seguridad en talleres, laboratorios y espacios productivos en el que se desarrollan las prácticas pre profesionales y </w:t>
      </w:r>
      <w:proofErr w:type="spellStart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profesionalizantes</w:t>
      </w:r>
      <w:proofErr w:type="spellEnd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”</w:t>
      </w:r>
    </w:p>
    <w:p w14:paraId="12819E87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Se reemplaza el párrafo: “Hasta un total de $ 12.000 por Institución Educativa para un plan de seguridad e higiene de 12 meses. Aquellas Instituciones que ya se hubieran beneficiado en esta línea de acción y hubieran ejecutado el plan, total o parcialmente, podrán solicitar un adicional no mayor a $ 6.000 para el año en concepto de mantenimiento y actualización de los niveles de seguridad alcanzados con el diagnóstico y plan de adecuación originales, debiendo acompañar tal solicitud con un forme de avance o un informe final de lo ejecutado con anterioridad”, por el siguiente párrafo:</w:t>
      </w:r>
    </w:p>
    <w:p w14:paraId="11AB4C6E" w14:textId="77777777" w:rsidR="00DD3EBC" w:rsidRDefault="00DD3EBC" w:rsidP="00DD3EB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“Hasta un total de $ 18.000 por Institución Educativa para un plan de seguridad e higiene de 12 meses. Aquellas Instituciones que ya se hubieran beneficiado en esta línea de acción y hubieran ejecutado el plan, total o parcialmente, podrán solicitar un adicional no mayor a $ 9.000 para el año en concepto de mantenimiento y actualización de los niveles de seguridad alcanzados con el diagnóstico y plan de adecuación originales, debiendo acompañar tal solicitud con un Informe de avance o un informe final de lo ejecutado con anterioridad. Se contemplará, cuando así resulte necesario, hasta un 20% adicional en concepto de gastos de traslado”.</w:t>
      </w:r>
    </w:p>
    <w:p w14:paraId="739FD1F4" w14:textId="77777777" w:rsidR="00DD3EBC" w:rsidRDefault="00DD3EBC" w:rsidP="00DD3EB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i/>
          <w:iCs/>
          <w:kern w:val="1"/>
          <w:sz w:val="19"/>
          <w:szCs w:val="19"/>
          <w:lang w:val="es-ES"/>
        </w:rPr>
      </w:pPr>
    </w:p>
    <w:p w14:paraId="55466E1B" w14:textId="77777777" w:rsidR="00DD3EBC" w:rsidRDefault="00DD3EBC" w:rsidP="00DD3EB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32" w:lineRule="exact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3.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>Cambios a introducir en la línea de acción “Acondicionamiento</w:t>
      </w:r>
      <w:r>
        <w:rPr>
          <w:rFonts w:ascii="Trebuchet MS" w:hAnsi="Trebuchet MS" w:cs="Trebuchet MS"/>
          <w:b/>
          <w:bCs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edilicio”.</w:t>
      </w:r>
    </w:p>
    <w:p w14:paraId="09FAF461" w14:textId="585D6713" w:rsidR="00DD3EBC" w:rsidRDefault="00DD3EBC" w:rsidP="00DD3EBC">
      <w:pPr>
        <w:widowControl w:val="0"/>
        <w:tabs>
          <w:tab w:val="left" w:pos="54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3.1.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Con respecto a la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refuncionalización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edilicia se reemplaza el párrafo “Se admite la presentación de dos proyectos por año y por institución educativa de hasta un total de $ 75.000 por proyecto, correspondiendo cada uno de ellos a obras diferentes”, por el siguiente</w:t>
      </w:r>
      <w:r>
        <w:rPr>
          <w:rFonts w:ascii="Trebuchet MS" w:hAnsi="Trebuchet MS" w:cs="Trebuchet MS"/>
          <w:spacing w:val="-1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párrafo:</w:t>
      </w:r>
    </w:p>
    <w:p w14:paraId="7B7DD64C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“Se admite la presentación de uno o más proyectos por año y por institución educativa por un monto total de $ 300.000. En el caso que un proyecto supere el monto de $ 75.000 la presentación deberá ser de carácter jurisdiccional”</w:t>
      </w:r>
    </w:p>
    <w:p w14:paraId="25931021" w14:textId="7923400F" w:rsidR="00DD3EBC" w:rsidRDefault="00DD3EBC" w:rsidP="00DD3EB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3.2.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Con respecto al acondicionamiento edilicio según las condiciones de seguridad e higiene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necesarias para el laboratorio, taller, espacio productivo y biblioteca se reemplaza el párrafo “Se admite la presentación de dos proyectos por año y por institución educativa de hasta un total de $ 75.000 por proyecto, correspondiendo cada uno de ellos a obras diferentes” por el siguiente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párrafo:</w:t>
      </w:r>
    </w:p>
    <w:p w14:paraId="15DE98D5" w14:textId="77777777" w:rsidR="00DD3EBC" w:rsidRDefault="00DD3EBC" w:rsidP="00DD3EBC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both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“Se admite la presentación de uno o varios proyectos por año y por institución educativa por un monto total de $ 300.000. En el caso que un proyecto supere el monto de $ 75.000 la presentación deberá ser de carácter jurisdiccional”.</w:t>
      </w:r>
    </w:p>
    <w:p w14:paraId="1799EADD" w14:textId="7CBCFC2D" w:rsidR="00DD3EBC" w:rsidRDefault="00DD3EBC" w:rsidP="00DD3EBC">
      <w:pPr>
        <w:widowControl w:val="0"/>
        <w:tabs>
          <w:tab w:val="left" w:pos="539"/>
        </w:tabs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3.3.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 respecto a la ampliación edilicia se reemplaza el párrafo “Hasta $ 150.000 por Institución Educativa por año”, por el siguiente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párrafo:</w:t>
      </w:r>
    </w:p>
    <w:p w14:paraId="06D3DEB4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“Se admite la presentación de uno o varios proyectos por un monto total anual por Institución de hasta $ 500.000”.</w:t>
      </w:r>
    </w:p>
    <w:p w14:paraId="09135EA2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Se reemplaza, además, el párrafo “Se reconocerá en concepto de pago de honorarios hasta un máximo de: 1ª etapa. Anteproyecto Constructivo</w:t>
      </w:r>
    </w:p>
    <w:p w14:paraId="47222C04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Obras menores (hasta $ 40.000): 3% del precio total.</w:t>
      </w:r>
    </w:p>
    <w:p w14:paraId="04FF7404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Obras mayores de $ 40.000 hasta $ 150.000: 2% del precio total. 2ª etapa. Documentación de obra y Dirección de Obra:</w:t>
      </w:r>
    </w:p>
    <w:p w14:paraId="589E1649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Obras menores (hasta $ 40.000): 6% del total.</w:t>
      </w:r>
    </w:p>
    <w:p w14:paraId="7AD65CDE" w14:textId="43C9C48A" w:rsidR="00DD3EBC" w:rsidRDefault="00DD3EBC" w:rsidP="00DD3EBC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20"/>
          <w:szCs w:val="20"/>
          <w:lang w:val="es-ES"/>
        </w:rPr>
        <w:t>Obras mayores de $ 40.000 hasta $ $ 150.000: 5% del total” El texto que sustituye al anterior es el siguiente:</w:t>
      </w:r>
    </w:p>
    <w:p w14:paraId="0CB5BCD8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“Se reconocerá en concepto de pago de honorarios hasta un máximo de: 1ª etapa. Anteproyecto Constructivo</w:t>
      </w:r>
    </w:p>
    <w:p w14:paraId="331A5840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Obras menores (hasta $ 68.807,00 ): 3% del precio total.</w:t>
      </w:r>
    </w:p>
    <w:p w14:paraId="14B8686B" w14:textId="77777777" w:rsidR="00DD3EBC" w:rsidRDefault="00DD3EBC" w:rsidP="00DD3EB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Obras mayores desde $ 68.807,00 hasta $ 467.289,00: 2% del precio total. 2ª etapa. Documentación de obra y Dirección de Obra:</w:t>
      </w:r>
    </w:p>
    <w:p w14:paraId="018A8A32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Obras menores (hasta $ 68.807,00): 6% del total.</w:t>
      </w:r>
    </w:p>
    <w:p w14:paraId="3AE451EB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imes New Roman" w:hAnsi="Times New Roman" w:cs="Times New Roman"/>
          <w:kern w:val="1"/>
          <w:lang w:val="es-ES"/>
        </w:rPr>
      </w:pPr>
    </w:p>
    <w:p w14:paraId="64276F39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7E2D49E" w14:textId="77777777" w:rsidR="00DD3EBC" w:rsidRDefault="00DD3EBC" w:rsidP="00DD3EBC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Obras mayores de $ 68.807,00 hasta $ 467.289,00: 5% del total.”</w:t>
      </w:r>
    </w:p>
    <w:p w14:paraId="6CDB0543" w14:textId="39F7095A" w:rsidR="00592F1B" w:rsidRPr="00AC3BA6" w:rsidRDefault="00592F1B" w:rsidP="00DD3EBC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2"/>
      <w:numFmt w:val="decimal"/>
      <w:lvlText w:val="%1."/>
      <w:lvlJc w:val="left"/>
      <w:pPr>
        <w:ind w:left="720" w:hanging="360"/>
      </w:pPr>
    </w:lvl>
    <w:lvl w:ilvl="1" w:tplc="0000012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2"/>
      <w:numFmt w:val="decimal"/>
      <w:lvlText w:val="%1."/>
      <w:lvlJc w:val="left"/>
      <w:pPr>
        <w:ind w:left="720" w:hanging="360"/>
      </w:pPr>
    </w:lvl>
    <w:lvl w:ilvl="1" w:tplc="0000019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2"/>
      <w:numFmt w:val="decimal"/>
      <w:lvlText w:val="%1."/>
      <w:lvlJc w:val="left"/>
      <w:pPr>
        <w:ind w:left="720" w:hanging="360"/>
      </w:pPr>
    </w:lvl>
    <w:lvl w:ilvl="1" w:tplc="000001F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2"/>
      <w:numFmt w:val="decimal"/>
      <w:lvlText w:val="%1."/>
      <w:lvlJc w:val="left"/>
      <w:pPr>
        <w:ind w:left="720" w:hanging="360"/>
      </w:pPr>
    </w:lvl>
    <w:lvl w:ilvl="1" w:tplc="0000025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8"/>
    <w:lvlOverride w:ilvl="1">
      <w:startOverride w:val="1"/>
    </w:lvlOverride>
  </w:num>
  <w:num w:numId="8">
    <w:abstractNumId w:val="8"/>
    <w:lvlOverride w:ilvl="1">
      <w:startOverride w:val="5"/>
    </w:lvlOverride>
  </w:num>
  <w:num w:numId="9">
    <w:abstractNumId w:val="8"/>
    <w:lvlOverride w:ilvl="1">
      <w:startOverride w:val="5"/>
    </w:lvlOverride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D3EBC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1301</Words>
  <Characters>7157</Characters>
  <Application>Microsoft Macintosh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2021-05-23T15:01:00Z</dcterms:created>
  <dcterms:modified xsi:type="dcterms:W3CDTF">2021-05-23T15:01:00Z</dcterms:modified>
</cp:coreProperties>
</file>