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B5200" w14:textId="77777777" w:rsidR="00F62353" w:rsidRDefault="00F62353" w:rsidP="00F62353">
      <w:pPr>
        <w:widowControl w:val="0"/>
        <w:autoSpaceDE w:val="0"/>
        <w:autoSpaceDN w:val="0"/>
        <w:adjustRightInd w:val="0"/>
        <w:spacing w:before="10" w:after="1" w:line="240" w:lineRule="auto"/>
        <w:ind w:right="-1"/>
        <w:rPr>
          <w:rFonts w:ascii="Times New Roman" w:hAnsi="Times New Roman" w:cs="Times New Roman"/>
          <w:sz w:val="13"/>
          <w:szCs w:val="13"/>
          <w:lang w:val="es-ES"/>
        </w:rPr>
      </w:pPr>
    </w:p>
    <w:p w14:paraId="14D5B7D9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65FABE65" w14:textId="77777777" w:rsidR="00F62353" w:rsidRDefault="00F62353" w:rsidP="00F62353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2A611E1D" w14:textId="77777777" w:rsidR="00F62353" w:rsidRDefault="00F62353" w:rsidP="00F62353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SISTEMA FEDERAL DE TÍTULOS Y CERTIFICADOS ANALÍTICOS </w:t>
      </w:r>
    </w:p>
    <w:p w14:paraId="5F671C3B" w14:textId="6ACD068A" w:rsidR="00F62353" w:rsidRDefault="00F62353" w:rsidP="00F62353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CONSEJO FEDERAL DE EDUCACIÓN</w:t>
      </w:r>
    </w:p>
    <w:p w14:paraId="5680CB53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RESOLUCIÓN Nº 168/12 </w:t>
      </w:r>
    </w:p>
    <w:p w14:paraId="11B2E0B9" w14:textId="26051E46" w:rsidR="00F62353" w:rsidRDefault="00F62353" w:rsidP="00F62353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ANEXO I</w:t>
      </w:r>
    </w:p>
    <w:p w14:paraId="1663D228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 xml:space="preserve">Modifica anexos de las Resoluciones CFE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Nros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>. 59/08 y 124/10</w:t>
      </w:r>
    </w:p>
    <w:p w14:paraId="0E81FDCF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BF2A74C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32" w:lineRule="exact"/>
        <w:ind w:right="-1"/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Destrucción de planillas</w:t>
      </w:r>
    </w:p>
    <w:p w14:paraId="1708D1D3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destrucción de las planillas no utilizadas, anuladas e inutilizadas se resolverá por los medios que la jurisdicción considere pertinente, con la presencia en el acto de destrucción del referente jurisdiccional del Sistema Federal de Títulos a partir de la Serie 2010. La misma se realizará antes del mes de agosto siguiente a la fecha de cierre de su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utilización.</w:t>
      </w:r>
    </w:p>
    <w:p w14:paraId="48663C81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52C0B31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Cupones</w:t>
      </w:r>
    </w:p>
    <w:p w14:paraId="55B6009C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Cupón Nº 5</w:t>
      </w:r>
    </w:p>
    <w:p w14:paraId="42424826" w14:textId="77777777" w:rsidR="00F62353" w:rsidRDefault="00F62353" w:rsidP="00F6235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 partir de la Serie 2012 la impresión de las planillas se realizará sin el Cupón Nº 5 (correspondiente al Ministerio de Educación de la Nación), dado que para el momento de su utilización se dispondrá de un  sistema digital que suplirá su función de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resguardo.</w:t>
      </w:r>
    </w:p>
    <w:p w14:paraId="03D6ADBA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DD37CD4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568BD11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E29E5CD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Cupón Nº 4</w:t>
      </w:r>
    </w:p>
    <w:p w14:paraId="5861E541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Cada jurisdicción podrá solicitar, formalmente y hasta el 28 de febrero de 2012, la confección de sus respectivas planillas Serie 2012 sin el Cupón Nº 4, dependiendo ello de la existencia en sus provincias, o en la Ciudad autónoma de Buenos Aires, de sistemas alternativos de resguardo.</w:t>
      </w:r>
    </w:p>
    <w:p w14:paraId="3EA4CB26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3125728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32" w:lineRule="exact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Analíticos Parciales</w:t>
      </w:r>
    </w:p>
    <w:p w14:paraId="01A67805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 partir del ciclo lectivo 2012, los analíticos correspondientes a estudios parciales de nivel medio y de nivel superior, se emitirán respetando el formato y contenido incorporado al software del “Sistema Federal de Títulos” Versión 3.0.1.</w:t>
      </w:r>
    </w:p>
    <w:p w14:paraId="6A570D2A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28A0EAB0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0582C7E" w14:textId="77777777" w:rsidR="00F62353" w:rsidRDefault="00F62353" w:rsidP="00F6235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Calendario Sistema Federal de Títulos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11AFAD5A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B9A056D" w14:textId="77777777" w:rsidR="00F62353" w:rsidRDefault="00F62353" w:rsidP="00F62353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719"/>
        <w:gridCol w:w="3354"/>
      </w:tblGrid>
      <w:tr w:rsidR="00F62353" w14:paraId="32DF4F0B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ECEF51E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-1"/>
              <w:jc w:val="center"/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49E8DE3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-1"/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  <w:t>Realizada por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1B61F66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-1"/>
              <w:jc w:val="center"/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  <w:t>Acción</w:t>
            </w:r>
          </w:p>
        </w:tc>
      </w:tr>
      <w:tr w:rsidR="00F62353" w14:paraId="4C350A1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BE81B4F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Hasta el 31 de marzo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26C7606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Autoridad educativa jurisdiccional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5F8933B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-1"/>
              <w:jc w:val="center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bookmarkStart w:id="0" w:name="_GoBack"/>
            <w:bookmarkEnd w:id="0"/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Solicitud de planillas</w:t>
            </w:r>
          </w:p>
        </w:tc>
      </w:tr>
      <w:tr w:rsidR="00F62353" w14:paraId="3A6E505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9D1BF8C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Hasta el 5 de abril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EAE1C7F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Ministerio de Educación de la Nación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8882EA5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Solicitud de impresión de planillas</w:t>
            </w:r>
          </w:p>
          <w:p w14:paraId="0B72492F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a la Unidad impresora</w:t>
            </w:r>
          </w:p>
        </w:tc>
      </w:tr>
      <w:tr w:rsidR="00F62353" w14:paraId="02339B6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50DD3C8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Hasta el 15 de octubre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E826AE2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Unidad impresora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C4B4808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Entrega de las planillas por la</w:t>
            </w:r>
          </w:p>
          <w:p w14:paraId="0F170BFD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Unidad impresora</w:t>
            </w:r>
          </w:p>
        </w:tc>
      </w:tr>
      <w:tr w:rsidR="00F62353" w14:paraId="4D86074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0DDF552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31 de octubre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E190D08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Instituciones Educativas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215A5E7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Cierre de la serie correspondiente a las planillas de emisión</w:t>
            </w:r>
            <w:r>
              <w:rPr>
                <w:rFonts w:ascii="Trebuchet MS" w:hAnsi="Trebuchet MS" w:cs="Trebuchet MS"/>
                <w:spacing w:val="58"/>
                <w:kern w:val="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de</w:t>
            </w:r>
          </w:p>
          <w:p w14:paraId="638A5905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títulos.</w:t>
            </w:r>
          </w:p>
        </w:tc>
      </w:tr>
      <w:tr w:rsidR="00F62353" w14:paraId="673942C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9D32A28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Hasta el 31 de octubre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5050CCF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Ministerio de Educación de la Nación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DC93797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Entrega de las planillas a las</w:t>
            </w:r>
          </w:p>
          <w:p w14:paraId="3B668641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jurisdicciones</w:t>
            </w:r>
          </w:p>
        </w:tc>
      </w:tr>
      <w:tr w:rsidR="00F62353" w14:paraId="76D908C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AC2C979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1 de noviembre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DB7D4E3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Instituciones Educativas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506EEF91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Comienzo de la utilización de la</w:t>
            </w:r>
          </w:p>
          <w:p w14:paraId="4AE9651E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before="2" w:after="0" w:line="23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nueva serie de emisión de los títulos</w:t>
            </w:r>
          </w:p>
        </w:tc>
      </w:tr>
      <w:tr w:rsidR="00F62353" w14:paraId="2748194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F320B02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Hasta el 30 de noviembre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DDD5AC4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Autoridad educativa jurisdiccional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6FEFE199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Entrega de las planillas a las</w:t>
            </w:r>
          </w:p>
          <w:p w14:paraId="60AEA6F6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instituciones educativas</w:t>
            </w:r>
          </w:p>
        </w:tc>
      </w:tr>
      <w:tr w:rsidR="00F62353" w14:paraId="68EFBDF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3FEF145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Hasta el 28 de febrero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67A9F30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Instituciones Educativas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939B3FB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Entrega del Informe Final a la</w:t>
            </w:r>
          </w:p>
          <w:p w14:paraId="55BA58DB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lastRenderedPageBreak/>
              <w:t>autoridad educativa jurisdiccional</w:t>
            </w:r>
          </w:p>
        </w:tc>
      </w:tr>
      <w:tr w:rsidR="00F62353" w14:paraId="5A5ACA17" w14:textId="77777777">
        <w:tblPrEx>
          <w:tblBorders>
            <w:top w:val="none" w:sz="0" w:space="0" w:color="auto"/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058C3D1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lastRenderedPageBreak/>
              <w:t>Hasta el 30 de junio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85CFD24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Autoridad educativa jurisdiccional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2685494" w14:textId="77777777" w:rsidR="00F62353" w:rsidRDefault="00F62353" w:rsidP="00F62353">
            <w:pPr>
              <w:widowControl w:val="0"/>
              <w:tabs>
                <w:tab w:val="left" w:pos="1016"/>
                <w:tab w:val="left" w:pos="1513"/>
                <w:tab w:val="left" w:pos="2430"/>
                <w:tab w:val="left" w:pos="3083"/>
              </w:tabs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Entrega</w:t>
            </w: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ab/>
              <w:t>del</w:t>
            </w: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ab/>
              <w:t>Informe</w:t>
            </w: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ab/>
              <w:t>Final</w:t>
            </w: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ab/>
              <w:t>al</w:t>
            </w:r>
          </w:p>
          <w:p w14:paraId="1781670B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Ministerio de Educación de Nación</w:t>
            </w:r>
          </w:p>
        </w:tc>
      </w:tr>
      <w:tr w:rsidR="00F62353" w14:paraId="24E04F02" w14:textId="77777777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807BDED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Hasta el 31 de julio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C0E2AAE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Autoridad educativa jurisdiccional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688192C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Destrucción de planillas anuladas, inutilizadas y no utilizadas de la serie finalizada el 31 de octubre</w:t>
            </w:r>
          </w:p>
          <w:p w14:paraId="7E3A7D27" w14:textId="77777777" w:rsidR="00F62353" w:rsidRDefault="00F62353" w:rsidP="00F62353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right="-1"/>
              <w:jc w:val="both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del año anterior</w:t>
            </w:r>
          </w:p>
        </w:tc>
      </w:tr>
    </w:tbl>
    <w:p w14:paraId="4C43D3B9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11E2B6F" w14:textId="77777777" w:rsidR="00F62353" w:rsidRDefault="00F62353" w:rsidP="00F62353">
      <w:pPr>
        <w:widowControl w:val="0"/>
        <w:autoSpaceDE w:val="0"/>
        <w:autoSpaceDN w:val="0"/>
        <w:adjustRightInd w:val="0"/>
        <w:spacing w:before="4" w:after="0" w:line="460" w:lineRule="atLeast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Plan de Acción Corresponde al Ministerio de Educación de la Nación a partir del año</w:t>
      </w:r>
      <w:r>
        <w:rPr>
          <w:rFonts w:ascii="Trebuchet MS" w:hAnsi="Trebuchet MS" w:cs="Trebuchet MS"/>
          <w:spacing w:val="-2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2012:</w:t>
      </w:r>
    </w:p>
    <w:p w14:paraId="5D752940" w14:textId="77777777" w:rsidR="00F62353" w:rsidRDefault="00F62353" w:rsidP="00F62353">
      <w:pPr>
        <w:widowControl w:val="0"/>
        <w:numPr>
          <w:ilvl w:val="0"/>
          <w:numId w:val="12"/>
        </w:numPr>
        <w:tabs>
          <w:tab w:val="left" w:pos="379"/>
        </w:tabs>
        <w:autoSpaceDE w:val="0"/>
        <w:autoSpaceDN w:val="0"/>
        <w:adjustRightInd w:val="0"/>
        <w:spacing w:before="5" w:after="0" w:line="232" w:lineRule="exact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Proveer equipos informáticos para las áreas de títulos de cada una de las</w:t>
      </w:r>
      <w:r>
        <w:rPr>
          <w:rFonts w:ascii="Trebuchet MS" w:hAnsi="Trebuchet MS" w:cs="Trebuchet MS"/>
          <w:spacing w:val="-2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jurisdicciones.</w:t>
      </w:r>
    </w:p>
    <w:p w14:paraId="72BC539D" w14:textId="77777777" w:rsidR="00F62353" w:rsidRDefault="00F62353" w:rsidP="00F62353">
      <w:pPr>
        <w:widowControl w:val="0"/>
        <w:numPr>
          <w:ilvl w:val="0"/>
          <w:numId w:val="12"/>
        </w:numPr>
        <w:tabs>
          <w:tab w:val="left" w:pos="402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Realizar encuentros regionales con el objeto de trabajar las necesidades y particularidades que presenta cada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jurisdicción.</w:t>
      </w:r>
    </w:p>
    <w:p w14:paraId="3DE0A64C" w14:textId="77777777" w:rsidR="00F62353" w:rsidRDefault="00F62353" w:rsidP="00F62353">
      <w:pPr>
        <w:widowControl w:val="0"/>
        <w:numPr>
          <w:ilvl w:val="0"/>
          <w:numId w:val="12"/>
        </w:numPr>
        <w:tabs>
          <w:tab w:val="left" w:pos="41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Realizar un Encuentro Federal anual a fin de compartir experiencias y evaluar inquietudes frente a las nuevas etapas de implementación del Sistema Federal de</w:t>
      </w:r>
      <w:r>
        <w:rPr>
          <w:rFonts w:ascii="Trebuchet MS" w:hAnsi="Trebuchet MS" w:cs="Trebuchet MS"/>
          <w:spacing w:val="-1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Títulos.</w:t>
      </w:r>
    </w:p>
    <w:p w14:paraId="6E58799D" w14:textId="77777777" w:rsidR="00F62353" w:rsidRDefault="00F62353" w:rsidP="00F62353">
      <w:pPr>
        <w:widowControl w:val="0"/>
        <w:numPr>
          <w:ilvl w:val="0"/>
          <w:numId w:val="12"/>
        </w:numPr>
        <w:tabs>
          <w:tab w:val="left" w:pos="382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Formar una Mesa de Ayuda con el objeto de brindar información y respuesta a consultas provenientes de los referentes de las jurisdicciones del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país.</w:t>
      </w:r>
    </w:p>
    <w:p w14:paraId="533E6B3A" w14:textId="77777777" w:rsidR="00F62353" w:rsidRDefault="00F62353" w:rsidP="00F62353">
      <w:pPr>
        <w:widowControl w:val="0"/>
        <w:numPr>
          <w:ilvl w:val="0"/>
          <w:numId w:val="12"/>
        </w:numPr>
        <w:tabs>
          <w:tab w:val="left" w:pos="379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Brindar capacitaciones en las jurisdicciones que lo</w:t>
      </w:r>
      <w:r>
        <w:rPr>
          <w:rFonts w:ascii="Trebuchet MS" w:hAnsi="Trebuchet MS" w:cs="Trebuchet MS"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requieran.</w:t>
      </w:r>
    </w:p>
    <w:p w14:paraId="1CA47F31" w14:textId="77777777" w:rsidR="00F62353" w:rsidRDefault="00F62353" w:rsidP="00F62353">
      <w:pPr>
        <w:widowControl w:val="0"/>
        <w:numPr>
          <w:ilvl w:val="0"/>
          <w:numId w:val="12"/>
        </w:numPr>
        <w:tabs>
          <w:tab w:val="left" w:pos="390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Desarrollar una Página Web, con sitio particular para cada una de las escuelas, en donde se puedan cargar on-line los datos del Sistema. El sitio tendrá tres tipos de usuarios, con características funcionales distintas para cada uno de ellos: institucional, jurisdiccional y</w:t>
      </w:r>
      <w:r>
        <w:rPr>
          <w:rFonts w:ascii="Trebuchet MS" w:hAnsi="Trebuchet MS" w:cs="Trebuchet MS"/>
          <w:spacing w:val="-1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nacional.</w:t>
      </w:r>
    </w:p>
    <w:p w14:paraId="6DB03C96" w14:textId="77777777" w:rsidR="00F62353" w:rsidRDefault="00F62353" w:rsidP="00F62353">
      <w:pPr>
        <w:widowControl w:val="0"/>
        <w:numPr>
          <w:ilvl w:val="0"/>
          <w:numId w:val="12"/>
        </w:numPr>
        <w:tabs>
          <w:tab w:val="left" w:pos="407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Desarrollar un sistema de código en barras, impreso en cada título y certificado, que contendrá toda la información del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mismo.</w:t>
      </w:r>
    </w:p>
    <w:p w14:paraId="1D1132C4" w14:textId="77777777" w:rsidR="00F62353" w:rsidRDefault="00F62353" w:rsidP="00F62353">
      <w:pPr>
        <w:widowControl w:val="0"/>
        <w:numPr>
          <w:ilvl w:val="0"/>
          <w:numId w:val="12"/>
        </w:numPr>
        <w:tabs>
          <w:tab w:val="left" w:pos="443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</w:p>
    <w:p w14:paraId="37D54ED0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0D3D5197" w14:textId="77777777" w:rsidR="00F62353" w:rsidRDefault="00F62353" w:rsidP="00F62353">
      <w:pPr>
        <w:widowControl w:val="0"/>
        <w:numPr>
          <w:ilvl w:val="0"/>
          <w:numId w:val="13"/>
        </w:numPr>
        <w:tabs>
          <w:tab w:val="left" w:pos="443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Proporcionar lectoras de código de barras en distintas unidades académicas de nivel superior y en organismos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nacionales.</w:t>
      </w:r>
    </w:p>
    <w:p w14:paraId="046FC109" w14:textId="77777777" w:rsidR="00F62353" w:rsidRDefault="00F62353" w:rsidP="00F62353">
      <w:pPr>
        <w:widowControl w:val="0"/>
        <w:numPr>
          <w:ilvl w:val="0"/>
          <w:numId w:val="13"/>
        </w:numPr>
        <w:tabs>
          <w:tab w:val="left" w:pos="412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Proveer Modem USB para el acceso a Internet a aquellas escuelas que no posean conectividad por otro medio.</w:t>
      </w:r>
    </w:p>
    <w:p w14:paraId="4E4D2C11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1A0720E" w14:textId="77777777" w:rsidR="00F62353" w:rsidRDefault="00F62353" w:rsidP="00F623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Corresponde a los ministerios jurisdiccionales a partir del año 2012:</w:t>
      </w:r>
    </w:p>
    <w:p w14:paraId="03442974" w14:textId="77777777" w:rsidR="00F62353" w:rsidRDefault="00F62353" w:rsidP="00F62353">
      <w:pPr>
        <w:widowControl w:val="0"/>
        <w:numPr>
          <w:ilvl w:val="0"/>
          <w:numId w:val="14"/>
        </w:numPr>
        <w:tabs>
          <w:tab w:val="left" w:pos="399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Garantizar que las áreas de títulos de las jurisdicciones cuenten con el espacio físico apropiado y con las medidas de seguridad pertinentes para el resguardo efectivo de las planillas y los</w:t>
      </w:r>
      <w:r>
        <w:rPr>
          <w:rFonts w:ascii="Trebuchet MS" w:hAnsi="Trebuchet MS" w:cs="Trebuchet MS"/>
          <w:spacing w:val="-2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títulos.</w:t>
      </w:r>
    </w:p>
    <w:p w14:paraId="68F6FA9E" w14:textId="77777777" w:rsidR="00F62353" w:rsidRDefault="00F62353" w:rsidP="00F62353">
      <w:pPr>
        <w:widowControl w:val="0"/>
        <w:numPr>
          <w:ilvl w:val="0"/>
          <w:numId w:val="14"/>
        </w:numPr>
        <w:tabs>
          <w:tab w:val="left" w:pos="419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Destinar los recursos humanos e informáticos necesarios para garantizar el cumplimiento de los plazos estipulados en la Resolución CFE Nº 59/08, Nº 124/10 y la presente</w:t>
      </w:r>
      <w:r>
        <w:rPr>
          <w:rFonts w:ascii="Trebuchet MS" w:hAnsi="Trebuchet MS" w:cs="Trebuchet MS"/>
          <w:spacing w:val="-1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Resolución.</w:t>
      </w:r>
    </w:p>
    <w:p w14:paraId="65F95C91" w14:textId="77777777" w:rsidR="00F62353" w:rsidRDefault="00F62353" w:rsidP="00F62353">
      <w:pPr>
        <w:widowControl w:val="0"/>
        <w:numPr>
          <w:ilvl w:val="0"/>
          <w:numId w:val="14"/>
        </w:numPr>
        <w:tabs>
          <w:tab w:val="left" w:pos="382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 xml:space="preserve">Realizar un relevamiento jurisdiccional que detalle las necesidades particulares de cada una de las escuelas de educación secundaria y de los institutos de educación superior, con relación a los soportes informáticos existentes y el acceso a conectividad de Internet, a fin de elaborar un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plan particularizado para el año</w:t>
      </w:r>
      <w:r>
        <w:rPr>
          <w:rFonts w:ascii="Trebuchet MS" w:hAnsi="Trebuchet MS" w:cs="Trebuchet MS"/>
          <w:spacing w:val="-33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2013.</w:t>
      </w:r>
    </w:p>
    <w:p w14:paraId="6CDB0543" w14:textId="39F7095A" w:rsidR="00592F1B" w:rsidRPr="00AC3BA6" w:rsidRDefault="00592F1B" w:rsidP="00F62353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4"/>
    <w:lvlOverride w:ilvl="1">
      <w:startOverride w:val="1"/>
    </w:lvlOverride>
  </w:num>
  <w:num w:numId="8">
    <w:abstractNumId w:val="4"/>
    <w:lvlOverride w:ilvl="1">
      <w:startOverride w:val="5"/>
    </w:lvlOverride>
  </w:num>
  <w:num w:numId="9">
    <w:abstractNumId w:val="4"/>
    <w:lvlOverride w:ilvl="1">
      <w:startOverride w:val="5"/>
    </w:lvlOverride>
  </w:num>
  <w:num w:numId="10">
    <w:abstractNumId w:val="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62353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4033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2021-05-19T20:12:00Z</dcterms:created>
  <dcterms:modified xsi:type="dcterms:W3CDTF">2021-05-19T20:12:00Z</dcterms:modified>
</cp:coreProperties>
</file>