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FCAF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es-ES"/>
        </w:rPr>
      </w:pPr>
    </w:p>
    <w:p w14:paraId="695223F2" w14:textId="77777777" w:rsidR="00851DFD" w:rsidRDefault="00851DFD" w:rsidP="00851DFD">
      <w:pPr>
        <w:widowControl w:val="0"/>
        <w:autoSpaceDE w:val="0"/>
        <w:autoSpaceDN w:val="0"/>
        <w:adjustRightInd w:val="0"/>
        <w:spacing w:before="99"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19"/>
          <w:szCs w:val="19"/>
          <w:lang w:val="es-ES"/>
        </w:rPr>
        <w:t xml:space="preserve">SOBRE LOS REQUERIMIENTOS DE LA UNIDAD DE ESTADÍSTICA </w:t>
      </w:r>
    </w:p>
    <w:p w14:paraId="4564ED5E" w14:textId="0F39EFE1" w:rsidR="00851DFD" w:rsidRDefault="00851DFD" w:rsidP="00851DFD">
      <w:pPr>
        <w:widowControl w:val="0"/>
        <w:autoSpaceDE w:val="0"/>
        <w:autoSpaceDN w:val="0"/>
        <w:adjustRightInd w:val="0"/>
        <w:spacing w:before="99"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GOBIERNO DE LA CIUDAD DE BUENOS AIRES</w:t>
      </w:r>
    </w:p>
    <w:p w14:paraId="6935C0B3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 xml:space="preserve">SECRETARÍA DE EDUCACIÓN </w:t>
      </w:r>
    </w:p>
    <w:p w14:paraId="4BF2F834" w14:textId="4E2E8286" w:rsidR="00851DFD" w:rsidRDefault="00851DFD" w:rsidP="00851DFD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RESOLUCIÓN Nº 1701 / 97.</w:t>
      </w:r>
    </w:p>
    <w:p w14:paraId="4328C08D" w14:textId="77777777" w:rsidR="00851DFD" w:rsidRDefault="00851DFD" w:rsidP="00851DFD">
      <w:pPr>
        <w:widowControl w:val="0"/>
        <w:autoSpaceDE w:val="0"/>
        <w:autoSpaceDN w:val="0"/>
        <w:adjustRightInd w:val="0"/>
        <w:spacing w:before="5" w:after="0" w:line="240" w:lineRule="auto"/>
        <w:ind w:right="-1"/>
        <w:rPr>
          <w:rFonts w:ascii="Times New Roman" w:hAnsi="Times New Roman" w:cs="Times New Roman"/>
          <w:b/>
          <w:bCs/>
          <w:sz w:val="10"/>
          <w:szCs w:val="10"/>
          <w:lang w:val="es-ES"/>
        </w:rPr>
      </w:pPr>
    </w:p>
    <w:p w14:paraId="618194C5" w14:textId="77777777" w:rsidR="00851DFD" w:rsidRDefault="00851DFD" w:rsidP="00851DFD">
      <w:pPr>
        <w:widowControl w:val="0"/>
        <w:autoSpaceDE w:val="0"/>
        <w:autoSpaceDN w:val="0"/>
        <w:adjustRightInd w:val="0"/>
        <w:spacing w:before="99" w:after="0" w:line="240" w:lineRule="auto"/>
        <w:ind w:right="-1"/>
        <w:jc w:val="right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z w:val="19"/>
          <w:szCs w:val="19"/>
          <w:lang w:val="es-ES"/>
        </w:rPr>
        <w:t>Buenos</w:t>
      </w:r>
      <w:r>
        <w:rPr>
          <w:rFonts w:ascii="Trebuchet MS" w:hAnsi="Trebuchet MS" w:cs="Trebuchet MS"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Aires,</w:t>
      </w:r>
      <w:r>
        <w:rPr>
          <w:rFonts w:ascii="Trebuchet MS" w:hAnsi="Trebuchet MS" w:cs="Trebuchet MS"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12</w:t>
      </w:r>
      <w:r>
        <w:rPr>
          <w:rFonts w:ascii="Trebuchet MS" w:hAnsi="Trebuchet MS" w:cs="Trebuchet MS"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setiembre</w:t>
      </w:r>
      <w:r>
        <w:rPr>
          <w:rFonts w:ascii="Trebuchet MS" w:hAnsi="Trebuchet MS" w:cs="Trebuchet MS"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1997</w:t>
      </w:r>
    </w:p>
    <w:p w14:paraId="0D6FBD03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lang w:val="es-ES"/>
        </w:rPr>
      </w:pPr>
    </w:p>
    <w:p w14:paraId="12B2E320" w14:textId="77777777" w:rsidR="00851DFD" w:rsidRDefault="00851DFD" w:rsidP="00851DFD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FFF4B5E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VISTO:</w:t>
      </w:r>
    </w:p>
    <w:p w14:paraId="0FB1A49C" w14:textId="5FFB35CE" w:rsidR="00851DFD" w:rsidRP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Ordenanza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Nº</w:t>
      </w:r>
      <w:r>
        <w:rPr>
          <w:rFonts w:ascii="Trebuchet MS" w:hAnsi="Trebuchet MS" w:cs="Trebuchet MS"/>
          <w:spacing w:val="1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35386/79,</w:t>
      </w:r>
      <w:r>
        <w:rPr>
          <w:rFonts w:ascii="Trebuchet MS" w:hAnsi="Trebuchet MS" w:cs="Trebuchet MS"/>
          <w:spacing w:val="1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que</w:t>
      </w:r>
      <w:r>
        <w:rPr>
          <w:rFonts w:ascii="Trebuchet MS" w:hAnsi="Trebuchet MS" w:cs="Trebuchet MS"/>
          <w:spacing w:val="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crea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Sistema</w:t>
      </w:r>
      <w:r>
        <w:rPr>
          <w:rFonts w:ascii="Trebuchet MS" w:hAnsi="Trebuchet MS" w:cs="Trebuchet MS"/>
          <w:spacing w:val="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Estadístico</w:t>
      </w:r>
      <w:r>
        <w:rPr>
          <w:rFonts w:ascii="Trebuchet MS" w:hAnsi="Trebuchet MS" w:cs="Trebuchet MS"/>
          <w:spacing w:val="1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Municipal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(hoy</w:t>
      </w:r>
      <w:r>
        <w:rPr>
          <w:rFonts w:ascii="Trebuchet MS" w:hAnsi="Trebuchet MS" w:cs="Trebuchet MS"/>
          <w:spacing w:val="1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Sistema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Estadístico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1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</w:p>
    <w:p w14:paraId="2D04A620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Ciudad de Buenos Aires), subsistema del Sistema Estadístico Nacional; el Decreto 07/95, B. M. Nº 19952 del 21/01/1995 de creación de la unidad estadística de la Secretaría de Educación; la Resolución Nº 48/95 del Consejo Federal de Cultura y Educación, a la que adhirió la Secretaría de Educación y,</w:t>
      </w:r>
    </w:p>
    <w:p w14:paraId="2665EEF8" w14:textId="77777777" w:rsidR="00851DFD" w:rsidRDefault="00851DFD" w:rsidP="00851DFD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F8D75AA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CONSIDERANDO:</w:t>
      </w:r>
    </w:p>
    <w:p w14:paraId="60E7BEDE" w14:textId="77777777" w:rsidR="00851DFD" w:rsidRDefault="00851DFD" w:rsidP="00851DFD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b/>
          <w:bCs/>
          <w:kern w:val="1"/>
          <w:sz w:val="18"/>
          <w:szCs w:val="18"/>
          <w:lang w:val="es-ES"/>
        </w:rPr>
      </w:pPr>
    </w:p>
    <w:p w14:paraId="02740FCA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 es imprescindible contar con la información contenida en la estadística continua de los establecimientos educativos (públicos y privados) que permita satisfacer lo establecido por las normas referidas,</w:t>
      </w:r>
    </w:p>
    <w:p w14:paraId="398E759A" w14:textId="77777777" w:rsidR="00851DFD" w:rsidRDefault="00851DFD" w:rsidP="00851DFD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94257C9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 no existe norma emanada de la Secretaría de Educación que establezca expresamente la obligación por parte de los establecimientos educativos dependientes de ella (públicos y privados) de responder en tiempo y forma los requerimientos de la Unidad de Estadística,</w:t>
      </w:r>
    </w:p>
    <w:p w14:paraId="712E8565" w14:textId="77777777" w:rsidR="00851DFD" w:rsidRDefault="00851DFD" w:rsidP="00851DFD">
      <w:pPr>
        <w:widowControl w:val="0"/>
        <w:autoSpaceDE w:val="0"/>
        <w:autoSpaceDN w:val="0"/>
        <w:adjustRightInd w:val="0"/>
        <w:spacing w:before="3" w:after="0" w:line="240" w:lineRule="auto"/>
        <w:ind w:right="-1"/>
        <w:rPr>
          <w:rFonts w:ascii="Times New Roman" w:hAnsi="Times New Roman" w:cs="Times New Roman"/>
          <w:kern w:val="1"/>
          <w:sz w:val="10"/>
          <w:szCs w:val="10"/>
          <w:lang w:val="es-ES"/>
        </w:rPr>
      </w:pPr>
    </w:p>
    <w:p w14:paraId="20C0698E" w14:textId="77777777" w:rsidR="00851DFD" w:rsidRDefault="00851DFD" w:rsidP="00851DFD">
      <w:pPr>
        <w:widowControl w:val="0"/>
        <w:autoSpaceDE w:val="0"/>
        <w:autoSpaceDN w:val="0"/>
        <w:adjustRightInd w:val="0"/>
        <w:spacing w:before="99"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Por ello,</w:t>
      </w:r>
    </w:p>
    <w:p w14:paraId="109E3BCA" w14:textId="77777777" w:rsidR="00851DFD" w:rsidRDefault="00851DFD" w:rsidP="00851DFD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hAnsi="Times New Roman" w:cs="Times New Roman"/>
          <w:kern w:val="1"/>
          <w:sz w:val="27"/>
          <w:szCs w:val="27"/>
          <w:lang w:val="es-ES"/>
        </w:rPr>
      </w:pPr>
    </w:p>
    <w:p w14:paraId="216867A3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475" w:lineRule="auto"/>
        <w:ind w:right="-1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EL SECRETARIO DE EDUCACIÓN RESUELVE:</w:t>
      </w:r>
    </w:p>
    <w:p w14:paraId="3D5C94FB" w14:textId="77777777" w:rsidR="00851DFD" w:rsidRDefault="00851DFD" w:rsidP="00851DFD">
      <w:pPr>
        <w:widowControl w:val="0"/>
        <w:autoSpaceDE w:val="0"/>
        <w:autoSpaceDN w:val="0"/>
        <w:adjustRightInd w:val="0"/>
        <w:spacing w:before="1"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1º.- Todos los establecimientos educativos públicos y privados dependientes de la Secretaría de Educación deberán cumplimentar, en tiempo y forma, los instrumentos de relevamiento de información propuestos por la Dirección General de Planeamiento - a través de la Unidad de Estadística - para mantener las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estadísticas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educativas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continuas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y/o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dar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respuestas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necesidades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eventuales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que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surjan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gestión de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gobierno.</w:t>
      </w:r>
    </w:p>
    <w:p w14:paraId="23CC46F0" w14:textId="77777777" w:rsidR="00851DFD" w:rsidRDefault="00851DFD" w:rsidP="00851DFD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6ECA3249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2º.- La distribución y recuperación de los instrumentos de relevamiento la realiza la unidad de Estadística con la intervención que corresponda o, en caso de no existir esta figura, con Coordinación responsable.</w:t>
      </w:r>
    </w:p>
    <w:p w14:paraId="5DF81733" w14:textId="77777777" w:rsidR="00851DFD" w:rsidRDefault="00851DFD" w:rsidP="00851DFD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119EE2F6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</w:t>
      </w:r>
      <w:r>
        <w:rPr>
          <w:rFonts w:ascii="Trebuchet MS" w:hAnsi="Trebuchet MS" w:cs="Trebuchet MS"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3º.-</w:t>
      </w:r>
      <w:r>
        <w:rPr>
          <w:rFonts w:ascii="Trebuchet MS" w:hAnsi="Trebuchet MS" w:cs="Trebuchet MS"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información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proporcionada</w:t>
      </w:r>
      <w:r>
        <w:rPr>
          <w:rFonts w:ascii="Trebuchet MS" w:hAnsi="Trebuchet MS" w:cs="Trebuchet MS"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través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instrumentos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relevamiento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mencionados tendrá carácter de declaración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jurada.</w:t>
      </w:r>
    </w:p>
    <w:p w14:paraId="1775AC45" w14:textId="77777777" w:rsidR="00851DFD" w:rsidRDefault="00851DFD" w:rsidP="00851DFD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185E8FB0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Artículo 4º.- Regístrese, comuníquese a las Direcciones Generales de Planeamiento, de Educación,</w:t>
      </w:r>
      <w:r>
        <w:rPr>
          <w:rFonts w:ascii="Trebuchet MS" w:hAnsi="Trebuchet MS" w:cs="Trebuchet MS"/>
          <w:spacing w:val="-2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 Educación de Gestión Privada y de Coordinación Financiera y</w:t>
      </w:r>
      <w:r>
        <w:rPr>
          <w:rFonts w:ascii="Trebuchet MS" w:hAnsi="Trebuchet MS" w:cs="Trebuchet MS"/>
          <w:spacing w:val="-2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Contable.</w:t>
      </w:r>
    </w:p>
    <w:p w14:paraId="7EBB0463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7A445AB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411AD21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52B9611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428E42B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FC5FEDE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9CF5BCB" w14:textId="77777777" w:rsidR="00851DFD" w:rsidRDefault="00851DFD" w:rsidP="00851D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3"/>
          <w:szCs w:val="23"/>
          <w:lang w:val="es-ES"/>
        </w:rPr>
      </w:pPr>
    </w:p>
    <w:p w14:paraId="03017016" w14:textId="77777777" w:rsidR="00851DFD" w:rsidRDefault="00851DFD" w:rsidP="00851DFD">
      <w:pPr>
        <w:widowControl w:val="0"/>
        <w:autoSpaceDE w:val="0"/>
        <w:autoSpaceDN w:val="0"/>
        <w:adjustRightInd w:val="0"/>
        <w:spacing w:before="101" w:after="0" w:line="240" w:lineRule="auto"/>
        <w:ind w:right="-1"/>
        <w:rPr>
          <w:rFonts w:ascii="Times New Roman" w:hAnsi="Times New Roman" w:cs="Times New Roman"/>
          <w:kern w:val="1"/>
          <w:sz w:val="15"/>
          <w:szCs w:val="15"/>
          <w:lang w:val="es-ES"/>
        </w:rPr>
      </w:pPr>
    </w:p>
    <w:p w14:paraId="6CDB0543" w14:textId="39F7095A" w:rsidR="00592F1B" w:rsidRPr="00AC3BA6" w:rsidRDefault="00592F1B" w:rsidP="00851DFD">
      <w:pPr>
        <w:ind w:right="-1"/>
      </w:pPr>
    </w:p>
    <w:sectPr w:rsidR="00592F1B" w:rsidRPr="00AC3BA6" w:rsidSect="00B64518">
      <w:headerReference w:type="default" r:id="rId8"/>
      <w:footerReference w:type="default" r:id="rId9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B6C"/>
    <w:multiLevelType w:val="multilevel"/>
    <w:tmpl w:val="42565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6A16"/>
    <w:multiLevelType w:val="multilevel"/>
    <w:tmpl w:val="2F60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258D7"/>
    <w:multiLevelType w:val="multilevel"/>
    <w:tmpl w:val="0E86A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F0DB0"/>
    <w:multiLevelType w:val="multilevel"/>
    <w:tmpl w:val="736A3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23A25"/>
    <w:multiLevelType w:val="multilevel"/>
    <w:tmpl w:val="CC5A1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A378F"/>
    <w:multiLevelType w:val="multilevel"/>
    <w:tmpl w:val="59381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71BB3"/>
    <w:multiLevelType w:val="multilevel"/>
    <w:tmpl w:val="CD4C5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A3295"/>
    <w:multiLevelType w:val="multilevel"/>
    <w:tmpl w:val="6A92F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5"/>
    </w:lvlOverride>
  </w:num>
  <w:num w:numId="9">
    <w:abstractNumId w:val="1"/>
    <w:lvlOverride w:ilvl="1">
      <w:startOverride w:val="5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028E3"/>
    <w:rsid w:val="00592F1B"/>
    <w:rsid w:val="006D1685"/>
    <w:rsid w:val="007906D4"/>
    <w:rsid w:val="00851DFD"/>
    <w:rsid w:val="00905D9F"/>
    <w:rsid w:val="00A53D64"/>
    <w:rsid w:val="00AC3BA6"/>
    <w:rsid w:val="00B21F6A"/>
    <w:rsid w:val="00B64518"/>
    <w:rsid w:val="00B6751E"/>
    <w:rsid w:val="00B91930"/>
    <w:rsid w:val="00E92FFD"/>
    <w:rsid w:val="00F8155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2021-05-28T14:12:00Z</dcterms:created>
  <dcterms:modified xsi:type="dcterms:W3CDTF">2021-05-28T14:12:00Z</dcterms:modified>
</cp:coreProperties>
</file>