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20A0A" w14:textId="77777777" w:rsidR="00D01254" w:rsidRDefault="00D01254" w:rsidP="00D01254">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28E7D69C" w14:textId="77777777" w:rsidR="00D01254" w:rsidRDefault="00D01254" w:rsidP="00D01254">
      <w:pPr>
        <w:widowControl w:val="0"/>
        <w:autoSpaceDE w:val="0"/>
        <w:autoSpaceDN w:val="0"/>
        <w:adjustRightInd w:val="0"/>
        <w:spacing w:after="0" w:line="20" w:lineRule="exact"/>
        <w:ind w:right="-1"/>
        <w:rPr>
          <w:rFonts w:ascii="Times New Roman" w:hAnsi="Times New Roman" w:cs="Times New Roman"/>
          <w:sz w:val="2"/>
          <w:szCs w:val="2"/>
          <w:lang w:val="es-ES"/>
        </w:rPr>
      </w:pPr>
    </w:p>
    <w:p w14:paraId="1308CBC8" w14:textId="77777777" w:rsidR="00D01254" w:rsidRDefault="00D01254" w:rsidP="00D01254">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REGULACIÓN PAUTAS PARA EL MEJORAMIENTO DE LA ENSEÑANZA </w:t>
      </w:r>
    </w:p>
    <w:p w14:paraId="6120E241" w14:textId="537E6151" w:rsidR="00D01254" w:rsidRDefault="00D01254" w:rsidP="00D01254">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4594D1AC" w14:textId="77777777" w:rsidR="00D01254" w:rsidRDefault="00D01254" w:rsidP="00D01254">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174/12</w:t>
      </w:r>
    </w:p>
    <w:p w14:paraId="793C8933" w14:textId="77777777" w:rsidR="00D01254" w:rsidRDefault="00D01254" w:rsidP="00D01254">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226861F0" w14:textId="77777777" w:rsidR="00D01254" w:rsidRDefault="00D01254" w:rsidP="00D01254">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13 de junio de 2012</w:t>
      </w:r>
    </w:p>
    <w:p w14:paraId="19820A22"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CCB7AF1" w14:textId="77777777" w:rsidR="00D01254" w:rsidRDefault="00D01254" w:rsidP="00D01254">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Nº 26.206 y la Resolución CFE N° 154/11, y</w:t>
      </w:r>
    </w:p>
    <w:p w14:paraId="1538390F"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8F1AF32" w14:textId="77777777" w:rsidR="00D01254" w:rsidRDefault="00D01254" w:rsidP="00D01254">
      <w:pPr>
        <w:widowControl w:val="0"/>
        <w:autoSpaceDE w:val="0"/>
        <w:autoSpaceDN w:val="0"/>
        <w:adjustRightInd w:val="0"/>
        <w:spacing w:after="0" w:line="232" w:lineRule="exact"/>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ADAD439" w14:textId="77777777" w:rsidR="00D01254" w:rsidRDefault="00D01254" w:rsidP="00D0125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el artículo 16 de la Ley de Educación Nacional asigna al MINISTERIO DE EDUCACIÓN NACIONAL y a las autoridades jurisdiccionales competentes, la responsabilidad de asegurar los principios de igualdad e inclusión educativas, mediante acciones que permitan alcanzar resultados equivalentes en el aprendizaje de todos los niños, independientemente de su situación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social.</w:t>
      </w:r>
    </w:p>
    <w:p w14:paraId="180C7E5A"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580EE6" w14:textId="77777777" w:rsidR="00D01254" w:rsidRDefault="00D01254" w:rsidP="00D0125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CFE Nº 134/11 aprobó diversas estrategias, entre otras, aquellas tendientes a mejorar las trayectorias escolares en los distintos niveles del sistema.</w:t>
      </w:r>
    </w:p>
    <w:p w14:paraId="77405CFA"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3BD156" w14:textId="77777777" w:rsidR="00D01254" w:rsidRDefault="00D01254" w:rsidP="00D0125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0DACD73"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087C56" w14:textId="77777777" w:rsidR="00D01254" w:rsidRDefault="00D01254" w:rsidP="00D0125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es decisión de este Consejo Federal profundizar en políticas de calidad, estableciendo pautas que aseguren el derecho a la educación, favoreciendo el ingreso, tránsito y egreso de los alumnos, de los niveles inicial, primario y modalidades.</w:t>
      </w:r>
    </w:p>
    <w:p w14:paraId="5196B4A0"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9C3F9C" w14:textId="77777777" w:rsidR="00D01254" w:rsidRDefault="00D01254" w:rsidP="00D0125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documento que se presenta a este cuerpo para su aprobación, incorpora los aportes de distintas jurisdicciones.</w:t>
      </w:r>
    </w:p>
    <w:p w14:paraId="0E410337" w14:textId="77777777" w:rsidR="00D01254" w:rsidRDefault="00D01254" w:rsidP="00D0125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F2509A7" w14:textId="77777777" w:rsidR="00D01254" w:rsidRDefault="00D01254" w:rsidP="00D0125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del Consejo Federal, a excepción de la provincia de La Rioja, por ausencia de su representante.</w:t>
      </w:r>
    </w:p>
    <w:p w14:paraId="7AF0401A"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lang w:val="es-ES"/>
        </w:rPr>
      </w:pPr>
    </w:p>
    <w:p w14:paraId="6DD83023"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19BB90F3" w14:textId="77777777" w:rsidR="00D01254" w:rsidRDefault="00D01254" w:rsidP="00D01254">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4BB472D9"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4A6CDFD" w14:textId="77777777" w:rsidR="00D01254" w:rsidRDefault="00D01254" w:rsidP="00D01254">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XLIII ASAMBLEA DEL CONSEJO FEDERAL DE EDUCACIÓN RESUELVE:</w:t>
      </w:r>
    </w:p>
    <w:p w14:paraId="6E3956F9"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8CA7629" w14:textId="77777777" w:rsidR="00D01254" w:rsidRDefault="00D01254" w:rsidP="00D0125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ARTÍCULO 1º</w:t>
      </w:r>
      <w:r>
        <w:rPr>
          <w:rFonts w:ascii="Trebuchet MS" w:hAnsi="Trebuchet MS" w:cs="Trebuchet MS"/>
          <w:kern w:val="1"/>
          <w:sz w:val="20"/>
          <w:szCs w:val="20"/>
          <w:lang w:val="es-ES"/>
        </w:rPr>
        <w:t>. Aprobar el documento: “Pautas federales para el mejoramiento de la enseñanza y el aprendizaje y las trayectorias escolares, en el nivel inicial, nivel primario y modalidades, y su regulación”, que como Anexo I, forma parte de la presente resolución.</w:t>
      </w:r>
    </w:p>
    <w:p w14:paraId="7A23C55A" w14:textId="77777777" w:rsidR="00D01254" w:rsidRDefault="00D01254" w:rsidP="00D0125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9571251" w14:textId="77777777" w:rsidR="00D01254" w:rsidRDefault="00D01254" w:rsidP="00D0125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ARTÍCULO 2º.</w:t>
      </w:r>
      <w:r>
        <w:rPr>
          <w:rFonts w:ascii="Trebuchet MS" w:hAnsi="Trebuchet MS" w:cs="Trebuchet MS"/>
          <w:kern w:val="1"/>
          <w:sz w:val="20"/>
          <w:szCs w:val="20"/>
          <w:lang w:val="es-ES"/>
        </w:rPr>
        <w:t>- Regístrese, comuníquese, notifíquese a los integrantes del CONSEJO FEDERAL DE EDUCACIÓN y cumplido, archívese.</w:t>
      </w:r>
    </w:p>
    <w:p w14:paraId="2C669ABF" w14:textId="77777777" w:rsidR="00D01254" w:rsidRDefault="00D01254" w:rsidP="00D01254">
      <w:pPr>
        <w:widowControl w:val="0"/>
        <w:autoSpaceDE w:val="0"/>
        <w:autoSpaceDN w:val="0"/>
        <w:adjustRightInd w:val="0"/>
        <w:spacing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774B6BBF" w14:textId="77777777" w:rsidR="00D01254" w:rsidRDefault="00D01254" w:rsidP="00D01254">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Consejo Federal de Educación</w:t>
      </w:r>
    </w:p>
    <w:p w14:paraId="4652B506" w14:textId="68963E1D" w:rsidR="00D01254" w:rsidRDefault="00D01254" w:rsidP="00D01254">
      <w:pPr>
        <w:widowControl w:val="0"/>
        <w:autoSpaceDE w:val="0"/>
        <w:autoSpaceDN w:val="0"/>
        <w:adjustRightInd w:val="0"/>
        <w:spacing w:before="185" w:after="0" w:line="240" w:lineRule="auto"/>
        <w:ind w:right="-1"/>
        <w:rPr>
          <w:rFonts w:ascii="Trebuchet MS" w:hAnsi="Trebuchet MS" w:cs="Trebuchet MS"/>
          <w:b/>
          <w:bCs/>
          <w:kern w:val="1"/>
          <w:sz w:val="20"/>
          <w:szCs w:val="20"/>
          <w:lang w:val="es-ES"/>
        </w:rPr>
      </w:pPr>
      <w:r>
        <w:rPr>
          <w:rFonts w:ascii="Times New Roman" w:hAnsi="Times New Roman" w:cs="Times New Roman"/>
          <w:kern w:val="1"/>
          <w:lang w:val="es-ES"/>
        </w:rPr>
        <w:t>“</w:t>
      </w:r>
      <w:bookmarkStart w:id="0" w:name="_GoBack"/>
      <w:bookmarkEnd w:id="0"/>
      <w:r>
        <w:rPr>
          <w:rFonts w:ascii="Trebuchet MS" w:hAnsi="Trebuchet MS" w:cs="Trebuchet MS"/>
          <w:b/>
          <w:bCs/>
          <w:kern w:val="1"/>
          <w:sz w:val="20"/>
          <w:szCs w:val="20"/>
          <w:lang w:val="es-ES"/>
        </w:rPr>
        <w:t>Pautas federales para el mejoramiento de la enseñanza y el aprendizaje y las trayectorias escolares en el nivel inicial, primario y modalidades, y su regulación”</w:t>
      </w:r>
    </w:p>
    <w:p w14:paraId="6DF77C85"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A70F63F" w14:textId="77777777" w:rsidR="00D01254" w:rsidRDefault="00D01254" w:rsidP="00D01254">
      <w:pPr>
        <w:widowControl w:val="0"/>
        <w:numPr>
          <w:ilvl w:val="0"/>
          <w:numId w:val="1"/>
        </w:numPr>
        <w:tabs>
          <w:tab w:val="left" w:pos="3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La obligación de hacer efectiva la garantía al derecho de la educación para todos los niños, niñas y jóvenes establecidas en las leyes educativas vigentes, ha llevado al Ministerio de Educación Nacional y a los Ministerios Jurisdiccionales a desarrollar políticas que fortalezcan los procesos pedagógicos, institucionales, y socioeducativos. En este sentido se subraya el imperativo por mejorar y enriquecer los procesos de aprendizaje de todos los estudiantes, especialmente aquellos que provienen de los sectores más vulnerables de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sociedad.</w:t>
      </w:r>
    </w:p>
    <w:p w14:paraId="6AA3B982" w14:textId="77777777" w:rsidR="00D01254" w:rsidRDefault="00D01254" w:rsidP="00D01254">
      <w:pPr>
        <w:widowControl w:val="0"/>
        <w:numPr>
          <w:ilvl w:val="0"/>
          <w:numId w:val="1"/>
        </w:numPr>
        <w:tabs>
          <w:tab w:val="left" w:pos="358"/>
        </w:tabs>
        <w:autoSpaceDE w:val="0"/>
        <w:autoSpaceDN w:val="0"/>
        <w:adjustRightInd w:val="0"/>
        <w:spacing w:before="90"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 xml:space="preserve">La desigualdad social se expresa de manera negativa en el sistema educativo: las trayectorias </w:t>
      </w:r>
      <w:r>
        <w:rPr>
          <w:rFonts w:ascii="Trebuchet MS" w:hAnsi="Trebuchet MS" w:cs="Trebuchet MS"/>
          <w:kern w:val="1"/>
          <w:sz w:val="20"/>
          <w:szCs w:val="20"/>
          <w:lang w:val="es-ES"/>
        </w:rPr>
        <w:lastRenderedPageBreak/>
        <w:t xml:space="preserve">escolares de los estudiantes, en general las de los sectores más necesitados, se ven reiteradamente obstaculizadas por ingresos tardíos, abandonos transitorios y permanentes y múltiples </w:t>
      </w:r>
      <w:proofErr w:type="spellStart"/>
      <w:r>
        <w:rPr>
          <w:rFonts w:ascii="Trebuchet MS" w:hAnsi="Trebuchet MS" w:cs="Trebuchet MS"/>
          <w:kern w:val="1"/>
          <w:sz w:val="20"/>
          <w:szCs w:val="20"/>
          <w:lang w:val="es-ES"/>
        </w:rPr>
        <w:t>repitencias</w:t>
      </w:r>
      <w:proofErr w:type="spellEnd"/>
      <w:r>
        <w:rPr>
          <w:rFonts w:ascii="Trebuchet MS" w:hAnsi="Trebuchet MS" w:cs="Trebuchet MS"/>
          <w:spacing w:val="-14"/>
          <w:kern w:val="1"/>
          <w:sz w:val="20"/>
          <w:szCs w:val="20"/>
          <w:lang w:val="es-ES"/>
        </w:rPr>
        <w:t xml:space="preserve"> </w:t>
      </w:r>
      <w:r>
        <w:rPr>
          <w:rFonts w:ascii="Times New Roman" w:hAnsi="Times New Roman" w:cs="Times New Roman"/>
          <w:kern w:val="1"/>
          <w:sz w:val="20"/>
          <w:szCs w:val="20"/>
          <w:lang w:val="es-ES"/>
        </w:rPr>
        <w:t>.</w:t>
      </w:r>
    </w:p>
    <w:p w14:paraId="26109C46"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648006B" w14:textId="77777777" w:rsidR="00D01254" w:rsidRDefault="00D01254" w:rsidP="00D01254">
      <w:pPr>
        <w:widowControl w:val="0"/>
        <w:numPr>
          <w:ilvl w:val="0"/>
          <w:numId w:val="2"/>
        </w:numPr>
        <w:tabs>
          <w:tab w:val="left" w:pos="4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t>Sin desconocer la incidencia que las condiciones socio-económicas de las familias, el nivel educativo alcanzado por los padres y otros factores extraescolares, tiene sobre la escolaridad en los últimos años, las investigaciones también vinculan fuertemente las dificultades en las trayectorias escolares de los estudiantes con las propias lógicas de escolarización y con las condiciones concretas de enseñanza y aprendizaje. En este sentido se presta particular atención a los rasgos institucionales, pedagógicos y didácticos que caracterizan la propuesta escolar de manera de otorgarle posibilidades concretas de ofrecer una enseñanza de calidad a todos los alumnos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alumnas.</w:t>
      </w:r>
    </w:p>
    <w:p w14:paraId="734504A6" w14:textId="77777777" w:rsidR="00D01254" w:rsidRDefault="00D01254" w:rsidP="00D0125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9D05735" w14:textId="77777777" w:rsidR="00D01254" w:rsidRDefault="00D01254" w:rsidP="00D01254">
      <w:pPr>
        <w:widowControl w:val="0"/>
        <w:numPr>
          <w:ilvl w:val="0"/>
          <w:numId w:val="3"/>
        </w:numPr>
        <w:tabs>
          <w:tab w:val="left" w:pos="3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ab/>
        <w:t>De este modo, se vuelve prioritario proponer y construir distintas formas de escolarización que permitan superar prácticas y saberes que esperan lo mismo, de la misma manera y al mismo tiempo, de todas y todos los estudiantes. Parte de las dificultades en la trayectoria escolar se vinculan con la existencia de formas rígidas de organización que responden a un modelo escolar homogeneizador. Este modelo escolar dificulta el trabajo con la heterogeneidad, excluye educativamente a muchos estudiantes y devalúa la propuesta escolar para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conjunto.</w:t>
      </w:r>
    </w:p>
    <w:p w14:paraId="08AE4C52" w14:textId="77777777" w:rsidR="00D01254" w:rsidRDefault="00D01254" w:rsidP="00D0125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1B2A4E2" w14:textId="77777777" w:rsidR="00D01254" w:rsidRDefault="00D01254" w:rsidP="00D01254">
      <w:pPr>
        <w:widowControl w:val="0"/>
        <w:numPr>
          <w:ilvl w:val="0"/>
          <w:numId w:val="4"/>
        </w:numPr>
        <w:tabs>
          <w:tab w:val="left" w:pos="38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5.</w:t>
      </w:r>
      <w:r>
        <w:rPr>
          <w:rFonts w:ascii="Trebuchet MS" w:hAnsi="Trebuchet MS" w:cs="Trebuchet MS"/>
          <w:kern w:val="1"/>
          <w:sz w:val="20"/>
          <w:szCs w:val="20"/>
          <w:lang w:val="es-ES"/>
        </w:rPr>
        <w:tab/>
      </w:r>
    </w:p>
    <w:p w14:paraId="5D6C2354"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lang w:val="es-ES"/>
        </w:rPr>
      </w:pPr>
    </w:p>
    <w:p w14:paraId="18943452" w14:textId="77777777" w:rsidR="00D01254" w:rsidRDefault="00D01254" w:rsidP="00D01254">
      <w:pPr>
        <w:widowControl w:val="0"/>
        <w:numPr>
          <w:ilvl w:val="0"/>
          <w:numId w:val="5"/>
        </w:numPr>
        <w:tabs>
          <w:tab w:val="left" w:pos="38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En concordancia con estas perspectivas, se ha desplegado en los últimos años un conjunto de políticas pedagógicas que proponen la modificación de tales rasgos. Dentro de las mismas, las políticas de enseñanza adquieren un lugar protagónico. Repensar los modos de transmisión de los saberes en la escuela se vuelve indispensable para mejorar los desempeños de todos los alumnos y las alumnas quienes tienen derecho a transitar una escuela que sea significativa y relevante para cada uno de ellos. En este marco, se hace necesario que la asignación de recursos materiales y financieros responda al fortalecimiento de las políticas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enseñanza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manera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mismas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puedan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expresarse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propuestas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efectivas,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definidas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pertinentes.</w:t>
      </w:r>
    </w:p>
    <w:p w14:paraId="08A7E95C" w14:textId="77777777" w:rsidR="00D01254" w:rsidRDefault="00D01254" w:rsidP="00D0125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CB03169" w14:textId="77777777" w:rsidR="00D01254" w:rsidRDefault="00D01254" w:rsidP="00D01254">
      <w:pPr>
        <w:widowControl w:val="0"/>
        <w:numPr>
          <w:ilvl w:val="0"/>
          <w:numId w:val="6"/>
        </w:numPr>
        <w:tabs>
          <w:tab w:val="left" w:pos="3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6.</w:t>
      </w:r>
      <w:r>
        <w:rPr>
          <w:rFonts w:ascii="Trebuchet MS" w:hAnsi="Trebuchet MS" w:cs="Trebuchet MS"/>
          <w:kern w:val="1"/>
          <w:sz w:val="20"/>
          <w:szCs w:val="20"/>
          <w:lang w:val="es-ES"/>
        </w:rPr>
        <w:tab/>
        <w:t xml:space="preserve">Por otra parte y entendiendo que estas propuestas requieren de un desarrollo sostenido y de mediano plazo, las jurisdicciones han elaborado respuestas socio pedagógicas que contemplan la situación actual y urgente de los y las estudiantes, con trayectorias escolares discontinuas y/o incompletas. De esta manera se llevan adelante proyectos de reingreso, abordaje de la </w:t>
      </w:r>
      <w:proofErr w:type="spellStart"/>
      <w:r>
        <w:rPr>
          <w:rFonts w:ascii="Trebuchet MS" w:hAnsi="Trebuchet MS" w:cs="Trebuchet MS"/>
          <w:kern w:val="1"/>
          <w:sz w:val="20"/>
          <w:szCs w:val="20"/>
          <w:lang w:val="es-ES"/>
        </w:rPr>
        <w:t>repitencia</w:t>
      </w:r>
      <w:proofErr w:type="spellEnd"/>
      <w:r>
        <w:rPr>
          <w:rFonts w:ascii="Trebuchet MS" w:hAnsi="Trebuchet MS" w:cs="Trebuchet MS"/>
          <w:kern w:val="1"/>
          <w:sz w:val="20"/>
          <w:szCs w:val="20"/>
          <w:lang w:val="es-ES"/>
        </w:rPr>
        <w:t xml:space="preserve"> y la (sobre)edad</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xml:space="preserve"> con resultados alentadores, basados generalmente en la reorganización del agrupamiento escolar, una planificada y renovada propuesta de enseñanza y una práctica educativa que confía en las posibilidades de aprender de todos los alumnos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alumnas.</w:t>
      </w:r>
    </w:p>
    <w:p w14:paraId="7E644B74" w14:textId="77777777" w:rsidR="00D01254" w:rsidRDefault="00D01254" w:rsidP="00D0125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8AF97D3" w14:textId="77777777" w:rsidR="00D01254" w:rsidRDefault="00D01254" w:rsidP="00D01254">
      <w:pPr>
        <w:widowControl w:val="0"/>
        <w:numPr>
          <w:ilvl w:val="0"/>
          <w:numId w:val="7"/>
        </w:numPr>
        <w:tabs>
          <w:tab w:val="left" w:pos="41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7.</w:t>
      </w:r>
      <w:r>
        <w:rPr>
          <w:rFonts w:ascii="Trebuchet MS" w:hAnsi="Trebuchet MS" w:cs="Trebuchet MS"/>
          <w:kern w:val="1"/>
          <w:sz w:val="20"/>
          <w:szCs w:val="20"/>
          <w:lang w:val="es-ES"/>
        </w:rPr>
        <w:tab/>
        <w:t>Sin perder de vista estas propuestas, complementariamente, se vuelve relevante modificar aquellas regulaciones que puedan obstaculizar de manera sustancial las trayectorias escolares y la capacidad pedagógica del sistema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educativo.</w:t>
      </w:r>
    </w:p>
    <w:p w14:paraId="33606F11"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91AADB" w14:textId="77777777" w:rsidR="00D01254" w:rsidRDefault="00D01254" w:rsidP="00D01254">
      <w:pPr>
        <w:widowControl w:val="0"/>
        <w:numPr>
          <w:ilvl w:val="0"/>
          <w:numId w:val="8"/>
        </w:numPr>
        <w:tabs>
          <w:tab w:val="left" w:pos="35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8.</w:t>
      </w:r>
      <w:r>
        <w:rPr>
          <w:rFonts w:ascii="Trebuchet MS" w:hAnsi="Trebuchet MS" w:cs="Trebuchet MS"/>
          <w:kern w:val="1"/>
          <w:sz w:val="20"/>
          <w:szCs w:val="20"/>
          <w:lang w:val="es-ES"/>
        </w:rPr>
        <w:tab/>
        <w:t>Las pautas que se desarrollan en este documento refieren a nivel inicial, primario y modalidades. Toda vez que las consideraciones referidas a los estudiantes de nivel secundario han sido tratadas en la resolución CFE 103/10, sólo se especifican en este anexo aquellas cuestiones que hacen a la articulación del nivel primario con el nivel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secundario.</w:t>
      </w:r>
    </w:p>
    <w:p w14:paraId="10545892" w14:textId="77777777" w:rsidR="00D01254" w:rsidRDefault="00D01254" w:rsidP="00D0125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ED697AF" w14:textId="77777777" w:rsidR="00D01254" w:rsidRDefault="00D01254" w:rsidP="00D01254">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Pautas para el mejoramiento de las trayectorias escolares “reales”</w:t>
      </w:r>
      <w:r>
        <w:rPr>
          <w:rFonts w:ascii="Trebuchet MS" w:hAnsi="Trebuchet MS" w:cs="Trebuchet MS"/>
          <w:b/>
          <w:bCs/>
          <w:kern w:val="1"/>
          <w:sz w:val="20"/>
          <w:szCs w:val="20"/>
          <w:vertAlign w:val="superscript"/>
          <w:lang w:val="es-ES"/>
        </w:rPr>
        <w:t>2</w:t>
      </w:r>
      <w:r>
        <w:rPr>
          <w:rFonts w:ascii="Trebuchet MS" w:hAnsi="Trebuchet MS" w:cs="Trebuchet MS"/>
          <w:b/>
          <w:bCs/>
          <w:kern w:val="1"/>
          <w:sz w:val="20"/>
          <w:szCs w:val="20"/>
          <w:lang w:val="es-ES"/>
        </w:rPr>
        <w:t xml:space="preserve"> de niños, niñas adolescentes y jóvenes, en el nivel inicial y primario.</w:t>
      </w:r>
    </w:p>
    <w:p w14:paraId="5985C25B"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B7DF638" w14:textId="77777777" w:rsidR="00D01254" w:rsidRDefault="00D01254" w:rsidP="00D01254">
      <w:pPr>
        <w:widowControl w:val="0"/>
        <w:numPr>
          <w:ilvl w:val="0"/>
          <w:numId w:val="9"/>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9.</w:t>
      </w:r>
      <w:r>
        <w:rPr>
          <w:rFonts w:ascii="Trebuchet MS" w:hAnsi="Trebuchet MS" w:cs="Trebuchet MS"/>
          <w:kern w:val="1"/>
          <w:sz w:val="20"/>
          <w:szCs w:val="20"/>
          <w:lang w:val="es-ES"/>
        </w:rPr>
        <w:tab/>
        <w:t>El Ministerio de Educación de la Nación y los Ministerios Jurisdiccionales promoverán las modificaciones organizativas, institucionales, pedagógicas, didácticas y del trabajo docente que permitan que todas y todos los estudiantes accedan a los aprendizajes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escolares.</w:t>
      </w:r>
    </w:p>
    <w:p w14:paraId="2A5BC864"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237C85" w14:textId="77777777" w:rsidR="00D01254" w:rsidRDefault="00D01254" w:rsidP="00D01254">
      <w:pPr>
        <w:widowControl w:val="0"/>
        <w:numPr>
          <w:ilvl w:val="0"/>
          <w:numId w:val="10"/>
        </w:numPr>
        <w:tabs>
          <w:tab w:val="left" w:pos="4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10.</w:t>
      </w:r>
      <w:r>
        <w:rPr>
          <w:rFonts w:ascii="Trebuchet MS" w:hAnsi="Trebuchet MS" w:cs="Trebuchet MS"/>
          <w:kern w:val="1"/>
          <w:sz w:val="20"/>
          <w:szCs w:val="20"/>
          <w:lang w:val="es-ES"/>
        </w:rPr>
        <w:tab/>
        <w:t>En el modelo escolar actual, la continuidad de los procesos de enseñanza y aprendizaje constituye un aspecto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central</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hora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sostener</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trayectorias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escolares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estudiantes.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tal</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sentido</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los</w:t>
      </w:r>
    </w:p>
    <w:p w14:paraId="526CCC23" w14:textId="77777777" w:rsidR="00D01254" w:rsidRDefault="00D01254" w:rsidP="00D01254">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32E0420B" w14:textId="77777777" w:rsidR="00D01254" w:rsidRDefault="00D01254" w:rsidP="00D01254">
      <w:pPr>
        <w:widowControl w:val="0"/>
        <w:autoSpaceDE w:val="0"/>
        <w:autoSpaceDN w:val="0"/>
        <w:adjustRightInd w:val="0"/>
        <w:spacing w:before="50" w:after="0" w:line="244" w:lineRule="auto"/>
        <w:ind w:right="-1"/>
        <w:rPr>
          <w:rFonts w:ascii="Times New Roman" w:hAnsi="Times New Roman" w:cs="Times New Roman"/>
          <w:kern w:val="1"/>
          <w:sz w:val="20"/>
          <w:szCs w:val="20"/>
          <w:lang w:val="es-ES"/>
        </w:rPr>
      </w:pPr>
      <w:r>
        <w:rPr>
          <w:rFonts w:ascii="Trebuchet MS" w:hAnsi="Trebuchet MS" w:cs="Trebuchet MS"/>
          <w:kern w:val="1"/>
          <w:sz w:val="18"/>
          <w:szCs w:val="18"/>
          <w:vertAlign w:val="superscript"/>
          <w:lang w:val="es-ES"/>
        </w:rPr>
        <w:t>1</w:t>
      </w:r>
      <w:r>
        <w:rPr>
          <w:rFonts w:ascii="Trebuchet MS" w:hAnsi="Trebuchet MS" w:cs="Trebuchet MS"/>
          <w:kern w:val="1"/>
          <w:sz w:val="18"/>
          <w:szCs w:val="18"/>
          <w:lang w:val="es-ES"/>
        </w:rPr>
        <w:t xml:space="preserve"> Se adopta esta escritura para dar cuenta de que el concepto se vincula expresamente con una organización escolar que </w:t>
      </w:r>
      <w:r>
        <w:rPr>
          <w:rFonts w:ascii="Trebuchet MS" w:hAnsi="Trebuchet MS" w:cs="Trebuchet MS"/>
          <w:kern w:val="1"/>
          <w:sz w:val="18"/>
          <w:szCs w:val="18"/>
          <w:lang w:val="es-ES"/>
        </w:rPr>
        <w:lastRenderedPageBreak/>
        <w:t>hace corresponder a cada edad un grado escolar</w:t>
      </w:r>
      <w:r>
        <w:rPr>
          <w:rFonts w:ascii="Times New Roman" w:hAnsi="Times New Roman" w:cs="Times New Roman"/>
          <w:kern w:val="1"/>
          <w:sz w:val="20"/>
          <w:szCs w:val="20"/>
          <w:lang w:val="es-ES"/>
        </w:rPr>
        <w:t>.</w:t>
      </w:r>
    </w:p>
    <w:p w14:paraId="605265FA" w14:textId="77777777" w:rsidR="00D01254" w:rsidRDefault="00D01254" w:rsidP="00D01254">
      <w:pPr>
        <w:widowControl w:val="0"/>
        <w:autoSpaceDE w:val="0"/>
        <w:autoSpaceDN w:val="0"/>
        <w:adjustRightInd w:val="0"/>
        <w:spacing w:before="12"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 los fines de este documento se entienden como trayectorias reales los modos heterogéneos, variables y contingentes en que los niños y niñas transitan su escolarización por oposición a las trayectorias teóricas, únicas y homogéneas</w:t>
      </w:r>
      <w:r>
        <w:rPr>
          <w:rFonts w:ascii="Times New Roman" w:hAnsi="Times New Roman" w:cs="Times New Roman"/>
          <w:kern w:val="1"/>
          <w:sz w:val="20"/>
          <w:szCs w:val="20"/>
          <w:lang w:val="es-ES"/>
        </w:rPr>
        <w:t>.</w:t>
      </w:r>
    </w:p>
    <w:p w14:paraId="541F1AAF" w14:textId="77777777" w:rsidR="00D01254" w:rsidRDefault="00D01254" w:rsidP="00D01254">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gobiernos educativos adoptarán medidas de seguimiento de la asistencia de los estudiantes en articulación con mesas intersectoriales e interinstitucionales locales (escuelas, organizaciones de la sociedad civil, sindicatos,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etc.)</w:t>
      </w:r>
    </w:p>
    <w:p w14:paraId="484F96DF"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5BC70C" w14:textId="77777777" w:rsidR="00D01254" w:rsidRDefault="00D01254" w:rsidP="00D01254">
      <w:pPr>
        <w:widowControl w:val="0"/>
        <w:numPr>
          <w:ilvl w:val="0"/>
          <w:numId w:val="11"/>
        </w:numPr>
        <w:tabs>
          <w:tab w:val="left" w:pos="4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11.</w:t>
      </w:r>
      <w:r>
        <w:rPr>
          <w:rFonts w:ascii="Trebuchet MS" w:hAnsi="Trebuchet MS" w:cs="Trebuchet MS"/>
          <w:kern w:val="1"/>
          <w:sz w:val="20"/>
          <w:szCs w:val="20"/>
          <w:lang w:val="es-ES"/>
        </w:rPr>
        <w:tab/>
        <w:t>Para los casos de inasistencias reiteradas de los estudiantes, sean éstas continuas o discontinuas, se deberán activar de manera inmediata los procedimientos para conocer sus causas y desarrollar las estrategias necesarias para re-establecer la continuidad y recuperar los saberes pertinentes. Asimismo, los Gobiernos educativos instruirán a las escuelas para que organicen las tareas de apoyo que los estudiantes requieran para continuar con su escolaridad, con la participación de las modalidades del sistema educativo, en los casos que fuere necesario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pertinente.</w:t>
      </w:r>
    </w:p>
    <w:p w14:paraId="4BEFEFA0"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C8A5EA" w14:textId="77777777" w:rsidR="00D01254" w:rsidRDefault="00D01254" w:rsidP="00D0125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Nivel Inicial</w:t>
      </w:r>
    </w:p>
    <w:p w14:paraId="0291E538"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2133557" w14:textId="77777777" w:rsidR="00D01254" w:rsidRDefault="00D01254" w:rsidP="00D01254">
      <w:pPr>
        <w:widowControl w:val="0"/>
        <w:numPr>
          <w:ilvl w:val="0"/>
          <w:numId w:val="12"/>
        </w:numPr>
        <w:tabs>
          <w:tab w:val="left" w:pos="46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12.</w:t>
      </w:r>
      <w:r>
        <w:rPr>
          <w:rFonts w:ascii="Trebuchet MS" w:hAnsi="Trebuchet MS" w:cs="Trebuchet MS"/>
          <w:kern w:val="1"/>
          <w:sz w:val="20"/>
          <w:szCs w:val="20"/>
          <w:lang w:val="es-ES"/>
        </w:rPr>
        <w:tab/>
        <w:t>El ingreso de un niño o niña a una sala del nivel, correspondiente a su edad cronológica, a los efectos de asegurar su escolarización, deberá cumplimentarse aun cuando ya esté transcurriendo el ciclo</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lectivo.</w:t>
      </w:r>
    </w:p>
    <w:p w14:paraId="25F21397" w14:textId="77777777" w:rsidR="00D01254" w:rsidRDefault="00D01254" w:rsidP="00D0125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2E64F30" w14:textId="77777777" w:rsidR="00D01254" w:rsidRDefault="00D01254" w:rsidP="00D01254">
      <w:pPr>
        <w:widowControl w:val="0"/>
        <w:numPr>
          <w:ilvl w:val="0"/>
          <w:numId w:val="13"/>
        </w:numPr>
        <w:tabs>
          <w:tab w:val="left" w:pos="5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13.</w:t>
      </w:r>
      <w:r>
        <w:rPr>
          <w:rFonts w:ascii="Trebuchet MS" w:hAnsi="Trebuchet MS" w:cs="Trebuchet MS"/>
          <w:kern w:val="1"/>
          <w:sz w:val="20"/>
          <w:szCs w:val="20"/>
          <w:lang w:val="es-ES"/>
        </w:rPr>
        <w:tab/>
        <w:t>Si durante el ciclo lectivo, por razones familiares o de salud, los niños/as de la sala de cinco años necesitaran trasladarse dentro de una misma jurisdicción o entre jurisdicciones, se deberá garantizar su asistencia en instituciones del nivel inicial de acuerdo a su edad cronológica y en la sala o sección equivalente.</w:t>
      </w:r>
    </w:p>
    <w:p w14:paraId="6878BB47" w14:textId="77777777" w:rsidR="00D01254" w:rsidRDefault="00D01254" w:rsidP="00D0125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AB580A2" w14:textId="77777777" w:rsidR="00D01254" w:rsidRDefault="00D01254" w:rsidP="00D01254">
      <w:pPr>
        <w:widowControl w:val="0"/>
        <w:numPr>
          <w:ilvl w:val="0"/>
          <w:numId w:val="14"/>
        </w:numPr>
        <w:tabs>
          <w:tab w:val="left" w:pos="516"/>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14.</w:t>
      </w:r>
      <w:r>
        <w:rPr>
          <w:rFonts w:ascii="Trebuchet MS" w:hAnsi="Trebuchet MS" w:cs="Trebuchet MS"/>
          <w:kern w:val="1"/>
          <w:sz w:val="20"/>
          <w:szCs w:val="20"/>
          <w:lang w:val="es-ES"/>
        </w:rPr>
        <w:tab/>
      </w:r>
    </w:p>
    <w:p w14:paraId="2014D1FF"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lang w:val="es-ES"/>
        </w:rPr>
      </w:pPr>
    </w:p>
    <w:p w14:paraId="59C8E2F3" w14:textId="77777777" w:rsidR="00D01254" w:rsidRDefault="00D01254" w:rsidP="00D01254">
      <w:pPr>
        <w:widowControl w:val="0"/>
        <w:numPr>
          <w:ilvl w:val="0"/>
          <w:numId w:val="15"/>
        </w:numPr>
        <w:tabs>
          <w:tab w:val="left" w:pos="5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trayectoria escolar de niños y niñas en el nivel inicial no podrá ser alterada bajo la idea de permanencia o </w:t>
      </w:r>
      <w:proofErr w:type="spellStart"/>
      <w:r>
        <w:rPr>
          <w:rFonts w:ascii="Trebuchet MS" w:hAnsi="Trebuchet MS" w:cs="Trebuchet MS"/>
          <w:kern w:val="1"/>
          <w:sz w:val="20"/>
          <w:szCs w:val="20"/>
          <w:lang w:val="es-ES"/>
        </w:rPr>
        <w:t>repitencia</w:t>
      </w:r>
      <w:proofErr w:type="spellEnd"/>
      <w:r>
        <w:rPr>
          <w:rFonts w:ascii="Trebuchet MS" w:hAnsi="Trebuchet MS" w:cs="Trebuchet MS"/>
          <w:kern w:val="1"/>
          <w:sz w:val="20"/>
          <w:szCs w:val="20"/>
          <w:lang w:val="es-ES"/>
        </w:rPr>
        <w:t>. Por lo tanto el pasaje de un año/sala/sección dentro del nivel no podrá exigir otro requisito que el de tener la edad cronológica para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ello.</w:t>
      </w:r>
    </w:p>
    <w:p w14:paraId="0AB770C7"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6E365E" w14:textId="77777777" w:rsidR="00D01254" w:rsidRDefault="00D01254" w:rsidP="00D01254">
      <w:pPr>
        <w:widowControl w:val="0"/>
        <w:numPr>
          <w:ilvl w:val="0"/>
          <w:numId w:val="16"/>
        </w:numPr>
        <w:tabs>
          <w:tab w:val="left" w:pos="51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15.</w:t>
      </w:r>
      <w:r>
        <w:rPr>
          <w:rFonts w:ascii="Trebuchet MS" w:hAnsi="Trebuchet MS" w:cs="Trebuchet MS"/>
          <w:kern w:val="1"/>
          <w:sz w:val="20"/>
          <w:szCs w:val="20"/>
          <w:lang w:val="es-ES"/>
        </w:rPr>
        <w:tab/>
        <w:t xml:space="preserve">La trayectoria de alumnos y alumnas con discapacidad será abierta y flexible entre la escuela de educación especial y la del nivel inicial, privilegiando siempre que sea posible la asistencia a la escuela de educación común. Por lo tanto cuando la trayectoria escolar de un niño o una niña con discapacidad requiera de la implementación de un proyecto pedagógico de integración escolar, las autoridades del nivel inicial y de la educación especial serán corresponsables de garantizar la existencia de los espacios y tiempos de trabajo - </w:t>
      </w:r>
      <w:proofErr w:type="spellStart"/>
      <w:r>
        <w:rPr>
          <w:rFonts w:ascii="Trebuchet MS" w:hAnsi="Trebuchet MS" w:cs="Trebuchet MS"/>
          <w:kern w:val="1"/>
          <w:sz w:val="20"/>
          <w:szCs w:val="20"/>
          <w:lang w:val="es-ES"/>
        </w:rPr>
        <w:t>intra</w:t>
      </w:r>
      <w:proofErr w:type="spellEnd"/>
      <w:r>
        <w:rPr>
          <w:rFonts w:ascii="Trebuchet MS" w:hAnsi="Trebuchet MS" w:cs="Trebuchet MS"/>
          <w:kern w:val="1"/>
          <w:sz w:val="20"/>
          <w:szCs w:val="20"/>
          <w:lang w:val="es-ES"/>
        </w:rPr>
        <w:t xml:space="preserve"> e interinstitucionales- necesarios para la planificación, desarrollo y evaluación de cada</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proyecto.</w:t>
      </w:r>
    </w:p>
    <w:p w14:paraId="31289734"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3D84AC" w14:textId="77777777" w:rsidR="00D01254" w:rsidRDefault="00D01254" w:rsidP="00D01254">
      <w:pPr>
        <w:widowControl w:val="0"/>
        <w:numPr>
          <w:ilvl w:val="0"/>
          <w:numId w:val="17"/>
        </w:numPr>
        <w:tabs>
          <w:tab w:val="left" w:pos="4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16.</w:t>
      </w:r>
      <w:r>
        <w:rPr>
          <w:rFonts w:ascii="Trebuchet MS" w:hAnsi="Trebuchet MS" w:cs="Trebuchet MS"/>
          <w:kern w:val="1"/>
          <w:sz w:val="20"/>
          <w:szCs w:val="20"/>
          <w:lang w:val="es-ES"/>
        </w:rPr>
        <w:tab/>
        <w:t>Las jurisdicciones y el Ministerio de Educación Nacional diseñarán las políticas de articulación necesarias para facilitar el pasaje entre el nivel inicial y el nivel primario. El mismo supone a nivel de gobierno la necesidad de que las direcciones de los niveles y modalidades respectivas generen condiciones curriculares y pedagógicas que hagan visible las continuidades necesarias para garantizar el pasaje de todos los niños y niñas. Los aprendizajes no serán interpretados como indicadores de acreditación ni de promoción de los niños y niñas en el nivel inicial al nivel siguiente. Serán considerados como indicios a ser tenidos en cuenta por los docentes que reciban a los niños/as para garantizar la trayectoria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escolar.</w:t>
      </w:r>
    </w:p>
    <w:p w14:paraId="3C17B212"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17327B" w14:textId="77777777" w:rsidR="00D01254" w:rsidRDefault="00D01254" w:rsidP="00D01254">
      <w:pPr>
        <w:widowControl w:val="0"/>
        <w:numPr>
          <w:ilvl w:val="0"/>
          <w:numId w:val="18"/>
        </w:numPr>
        <w:tabs>
          <w:tab w:val="left" w:pos="5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17.</w:t>
      </w:r>
      <w:r>
        <w:rPr>
          <w:rFonts w:ascii="Trebuchet MS" w:hAnsi="Trebuchet MS" w:cs="Trebuchet MS"/>
          <w:kern w:val="1"/>
          <w:sz w:val="20"/>
          <w:szCs w:val="20"/>
          <w:lang w:val="es-ES"/>
        </w:rPr>
        <w:tab/>
        <w:t>Asimismo, las jurisdicciones diseñarán las medidas administrativas necesarias para el registro y seguimiento de los alumnos en el pasaje del nivel inicial a la escuela primaria. Se pondrá en vigencia el pase administrativo entre un nivel y el otro, de modo de que cada institución de nivel inicial pueda contar con un registro respecto de la continuidad de los estudios de todos sus alumnos. Se instrumentarán las medidas que generen la utilización de un legajo único por alumno que sea compartido por ambos niveles. Las jurisdicciones se comprometen a poner en vigencia esta documentación como plazo máximo en el año</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2013.</w:t>
      </w:r>
    </w:p>
    <w:p w14:paraId="38F87FA3"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4559DF" w14:textId="77777777" w:rsidR="00D01254" w:rsidRDefault="00D01254" w:rsidP="00D0125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Nivel primario</w:t>
      </w:r>
    </w:p>
    <w:p w14:paraId="6F9588B1"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6A9CF7B" w14:textId="77777777" w:rsidR="00D01254" w:rsidRDefault="00D01254" w:rsidP="00D01254">
      <w:pPr>
        <w:widowControl w:val="0"/>
        <w:numPr>
          <w:ilvl w:val="0"/>
          <w:numId w:val="19"/>
        </w:numPr>
        <w:tabs>
          <w:tab w:val="left" w:pos="46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18.</w:t>
      </w:r>
      <w:r>
        <w:rPr>
          <w:rFonts w:ascii="Trebuchet MS" w:hAnsi="Trebuchet MS" w:cs="Trebuchet MS"/>
          <w:kern w:val="1"/>
          <w:sz w:val="20"/>
          <w:szCs w:val="20"/>
          <w:lang w:val="es-ES"/>
        </w:rPr>
        <w:tab/>
        <w:t xml:space="preserve">El requisito de obligatoriedad de la sala de 5 del nivel inicial no debe ser impedimento para </w:t>
      </w:r>
      <w:r>
        <w:rPr>
          <w:rFonts w:ascii="Trebuchet MS" w:hAnsi="Trebuchet MS" w:cs="Trebuchet MS"/>
          <w:kern w:val="1"/>
          <w:sz w:val="20"/>
          <w:szCs w:val="20"/>
          <w:lang w:val="es-ES"/>
        </w:rPr>
        <w:lastRenderedPageBreak/>
        <w:t>que los niños y niñas que no hayan accedido a ese nivel educativo, ingresen a la escuela primaria a la edad que la ley de Educación Nacional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establece.</w:t>
      </w:r>
    </w:p>
    <w:p w14:paraId="4B899227"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B8AE4B" w14:textId="77777777" w:rsidR="00D01254" w:rsidRDefault="00D01254" w:rsidP="00D01254">
      <w:pPr>
        <w:widowControl w:val="0"/>
        <w:numPr>
          <w:ilvl w:val="0"/>
          <w:numId w:val="20"/>
        </w:numPr>
        <w:tabs>
          <w:tab w:val="left" w:pos="46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19.</w:t>
      </w:r>
      <w:r>
        <w:rPr>
          <w:rFonts w:ascii="Trebuchet MS" w:hAnsi="Trebuchet MS" w:cs="Trebuchet MS"/>
          <w:kern w:val="1"/>
          <w:sz w:val="20"/>
          <w:szCs w:val="20"/>
          <w:lang w:val="es-ES"/>
        </w:rPr>
        <w:tab/>
        <w:t>En virtud de evitar situaciones que vulneren el derecho a la educación de niños y niñas se hace necesario precisar el alcance del anexo 1 A de la resolución CFE 18/07. En tal sentido se estipula que la autoridad competente y de aplicación para eximir a los niños de la presentación del certificado de cursado del nivel inicial que la resolución refiere, será la dirección de la escuela primaria la que deberá indefectiblemente inscribirlo.</w:t>
      </w:r>
    </w:p>
    <w:p w14:paraId="03036212" w14:textId="77777777" w:rsidR="00D01254" w:rsidRDefault="00D01254" w:rsidP="00D01254">
      <w:pPr>
        <w:widowControl w:val="0"/>
        <w:numPr>
          <w:ilvl w:val="0"/>
          <w:numId w:val="20"/>
        </w:numPr>
        <w:tabs>
          <w:tab w:val="left" w:pos="512"/>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20.</w:t>
      </w:r>
      <w:r>
        <w:rPr>
          <w:rFonts w:ascii="Trebuchet MS" w:hAnsi="Trebuchet MS" w:cs="Trebuchet MS"/>
          <w:kern w:val="1"/>
          <w:sz w:val="20"/>
          <w:szCs w:val="20"/>
          <w:lang w:val="es-ES"/>
        </w:rPr>
        <w:tab/>
        <w:t>En el marco de las políticas de inclusión, los y las estudiantes tienen el derecho inalienable a la educación obligatoria. Por tanto, el Ministerio de Educación de la Nación y las Jurisdicciones en todos los casos de ingreso tardío o reingreso al nivel primario, se comprometen a generar los dispositivos pedagógicos y normativos para que niños y niñas logren en el menor tiempo posible, incorporarse al grado que por su edad cronológica correspondiera. Par ello será menester realizar evaluaciones de los aprendizajes previos que los mismos portan en relación con aquellos prioritarios para el grado en el que han de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incluirse.</w:t>
      </w:r>
    </w:p>
    <w:p w14:paraId="33D5F287"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C60268" w14:textId="77777777" w:rsidR="00D01254" w:rsidRDefault="00D01254" w:rsidP="00D01254">
      <w:pPr>
        <w:widowControl w:val="0"/>
        <w:numPr>
          <w:ilvl w:val="0"/>
          <w:numId w:val="21"/>
        </w:numPr>
        <w:tabs>
          <w:tab w:val="left" w:pos="52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21.</w:t>
      </w:r>
      <w:r>
        <w:rPr>
          <w:rFonts w:ascii="Trebuchet MS" w:hAnsi="Trebuchet MS" w:cs="Trebuchet MS"/>
          <w:kern w:val="1"/>
          <w:sz w:val="20"/>
          <w:szCs w:val="20"/>
          <w:lang w:val="es-ES"/>
        </w:rPr>
        <w:tab/>
        <w:t xml:space="preserve">Las jurisdicciones promoverán planificaciones institucionales que especifiquen la secuenciación de contenidos al interior y entre grados, la coordinación </w:t>
      </w:r>
      <w:proofErr w:type="spellStart"/>
      <w:r>
        <w:rPr>
          <w:rFonts w:ascii="Trebuchet MS" w:hAnsi="Trebuchet MS" w:cs="Trebuchet MS"/>
          <w:kern w:val="1"/>
          <w:sz w:val="20"/>
          <w:szCs w:val="20"/>
          <w:lang w:val="es-ES"/>
        </w:rPr>
        <w:t>intraciclos</w:t>
      </w:r>
      <w:proofErr w:type="spellEnd"/>
      <w:r>
        <w:rPr>
          <w:rFonts w:ascii="Trebuchet MS" w:hAnsi="Trebuchet MS" w:cs="Trebuchet MS"/>
          <w:kern w:val="1"/>
          <w:sz w:val="20"/>
          <w:szCs w:val="20"/>
          <w:lang w:val="es-ES"/>
        </w:rPr>
        <w:t>, la posibilidad de producir diversos agrupamientos al interior de un ciclo con fines específicos de enseñanza, la priorización de aprendizajes en el tiempo y la designación de maestros en grados claves que puedan continuar en el año siguiente con el mismo grupo a los efectos de fortalecer la continuidad de la enseñanza y con ello la continuidad de las trayectorias escolares.</w:t>
      </w:r>
    </w:p>
    <w:p w14:paraId="145726B3"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746F7A" w14:textId="77777777" w:rsidR="00D01254" w:rsidRDefault="00D01254" w:rsidP="00D01254">
      <w:pPr>
        <w:widowControl w:val="0"/>
        <w:numPr>
          <w:ilvl w:val="0"/>
          <w:numId w:val="22"/>
        </w:numPr>
        <w:tabs>
          <w:tab w:val="left" w:pos="48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22.</w:t>
      </w:r>
      <w:r>
        <w:rPr>
          <w:rFonts w:ascii="Trebuchet MS" w:hAnsi="Trebuchet MS" w:cs="Trebuchet MS"/>
          <w:kern w:val="1"/>
          <w:sz w:val="20"/>
          <w:szCs w:val="20"/>
          <w:lang w:val="es-ES"/>
        </w:rPr>
        <w:tab/>
        <w:t>En el marco del fortalecimiento de las políticas de enseñanza, en especial la alfabetización inicial, el cumplimiento de los contenidos curriculares, la revisión de los modos de evaluación a lo largo del primer grado y ciclo, y las decisiones políticas que el estado nacional y los estados provinciales han tomado para promover la calidad, tanto de la enseñanza como de los aprendizajes, es necesario considerar como unidad pedagógica a los dos primeros años de la escuela primaria. Por lo tanto se reformularán los regímenes de promoción a los efectos que rijan a partir del segundo año/grado. Estas modificaciones normativas se podrán implementar de manera gradual a partir del año 2013, hasta alcanzar en el año 2016 a todas las escuelas de nivel primario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país.</w:t>
      </w:r>
    </w:p>
    <w:p w14:paraId="03E57BFB" w14:textId="77777777" w:rsidR="00D01254" w:rsidRDefault="00D01254" w:rsidP="00D0125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5D20BF3" w14:textId="77777777" w:rsidR="00D01254" w:rsidRDefault="00D01254" w:rsidP="00D01254">
      <w:pPr>
        <w:widowControl w:val="0"/>
        <w:numPr>
          <w:ilvl w:val="0"/>
          <w:numId w:val="23"/>
        </w:numPr>
        <w:tabs>
          <w:tab w:val="left" w:pos="45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23.</w:t>
      </w:r>
      <w:r>
        <w:rPr>
          <w:rFonts w:ascii="Trebuchet MS" w:hAnsi="Trebuchet MS" w:cs="Trebuchet MS"/>
          <w:kern w:val="1"/>
          <w:sz w:val="20"/>
          <w:szCs w:val="20"/>
          <w:lang w:val="es-ES"/>
        </w:rPr>
        <w:tab/>
      </w:r>
    </w:p>
    <w:p w14:paraId="362132DC"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lang w:val="es-ES"/>
        </w:rPr>
      </w:pPr>
    </w:p>
    <w:p w14:paraId="32A8E3A3" w14:textId="77777777" w:rsidR="00D01254" w:rsidRDefault="00D01254" w:rsidP="00D01254">
      <w:pPr>
        <w:widowControl w:val="0"/>
        <w:numPr>
          <w:ilvl w:val="0"/>
          <w:numId w:val="24"/>
        </w:numPr>
        <w:tabs>
          <w:tab w:val="left" w:pos="4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En función de lo expuesto en el punto anterior, las jurisdicciones promoverán que los docentes designados en primer grado asuman la continuidad en el segundo, previa evaluación del equipo</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directivo.</w:t>
      </w:r>
    </w:p>
    <w:p w14:paraId="1431A328"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4CFF2F" w14:textId="77777777" w:rsidR="00D01254" w:rsidRDefault="00D01254" w:rsidP="00D01254">
      <w:pPr>
        <w:widowControl w:val="0"/>
        <w:numPr>
          <w:ilvl w:val="0"/>
          <w:numId w:val="25"/>
        </w:numPr>
        <w:tabs>
          <w:tab w:val="left" w:pos="5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24.</w:t>
      </w:r>
      <w:r>
        <w:rPr>
          <w:rFonts w:ascii="Trebuchet MS" w:hAnsi="Trebuchet MS" w:cs="Trebuchet MS"/>
          <w:kern w:val="1"/>
          <w:sz w:val="20"/>
          <w:szCs w:val="20"/>
          <w:lang w:val="es-ES"/>
        </w:rPr>
        <w:tab/>
        <w:t xml:space="preserve">Tal como lo vienen realizando algunas jurisdicciones, se alienta la implementación del régimen de promoción acompañada, mediante estrategias tales como: fortalecimiento de la enseñanza en el segundo ciclo, apoyo pedagógico a los niños y niñas en aquellas instituciones que cuentan con perfiles como maestras/os de apoyo, comunitarios o de recuperación; materiales de trabajo contextualizados, tareas de apoyo en otras instituciones de la comunidad o redes sociales y atención desde los programas específicos de </w:t>
      </w:r>
      <w:proofErr w:type="spellStart"/>
      <w:r>
        <w:rPr>
          <w:rFonts w:ascii="Trebuchet MS" w:hAnsi="Trebuchet MS" w:cs="Trebuchet MS"/>
          <w:kern w:val="1"/>
          <w:sz w:val="20"/>
          <w:szCs w:val="20"/>
          <w:lang w:val="es-ES"/>
        </w:rPr>
        <w:t>repitencia</w:t>
      </w:r>
      <w:proofErr w:type="spellEnd"/>
      <w:r>
        <w:rPr>
          <w:rFonts w:ascii="Trebuchet MS" w:hAnsi="Trebuchet MS" w:cs="Trebuchet MS"/>
          <w:kern w:val="1"/>
          <w:sz w:val="20"/>
          <w:szCs w:val="20"/>
          <w:lang w:val="es-ES"/>
        </w:rPr>
        <w:t xml:space="preserve"> y (sobre)edad, entre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otras.</w:t>
      </w:r>
    </w:p>
    <w:p w14:paraId="57E69D1E" w14:textId="77777777" w:rsidR="00D01254" w:rsidRDefault="00D01254" w:rsidP="00D0125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5266915" w14:textId="77777777" w:rsidR="00D01254" w:rsidRDefault="00D01254" w:rsidP="00D01254">
      <w:pPr>
        <w:widowControl w:val="0"/>
        <w:numPr>
          <w:ilvl w:val="0"/>
          <w:numId w:val="26"/>
        </w:numPr>
        <w:tabs>
          <w:tab w:val="left" w:pos="46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25.</w:t>
      </w:r>
      <w:r>
        <w:rPr>
          <w:rFonts w:ascii="Trebuchet MS" w:hAnsi="Trebuchet MS" w:cs="Trebuchet MS"/>
          <w:kern w:val="1"/>
          <w:sz w:val="20"/>
          <w:szCs w:val="20"/>
          <w:lang w:val="es-ES"/>
        </w:rPr>
        <w:tab/>
        <w:t>Por tanto para fortalecer la continuidad de las trayectorias y respetar la singularidad de los procesos que cada alumno/a realiza en su aprendizaje, las jurisdicciones implementarán un régimen de promoción acompañada desde el segundo grado de la escuela primaria. Se entiende por promoción acompañada a la que permite promocionar a un estudiante de un grado/año al subsiguiente, siempre y cuando en el transcurso del mismo pueda garantizársele el logro de los aprendizajes no acreditados en el año</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anterior.</w:t>
      </w:r>
    </w:p>
    <w:p w14:paraId="6D9A14A8" w14:textId="77777777" w:rsidR="00D01254" w:rsidRDefault="00D01254" w:rsidP="00D0125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B175C8E" w14:textId="77777777" w:rsidR="00D01254" w:rsidRDefault="00D01254" w:rsidP="00D01254">
      <w:pPr>
        <w:widowControl w:val="0"/>
        <w:numPr>
          <w:ilvl w:val="0"/>
          <w:numId w:val="27"/>
        </w:numPr>
        <w:tabs>
          <w:tab w:val="left" w:pos="4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26.</w:t>
      </w:r>
      <w:r>
        <w:rPr>
          <w:rFonts w:ascii="Trebuchet MS" w:hAnsi="Trebuchet MS" w:cs="Trebuchet MS"/>
          <w:kern w:val="1"/>
          <w:sz w:val="20"/>
          <w:szCs w:val="20"/>
          <w:lang w:val="es-ES"/>
        </w:rPr>
        <w:tab/>
        <w:t xml:space="preserve">Los gobiernos educativos generarán los dispositivos necesarios para que los supervisores, directores y equipos docentes puedan analizar las condiciones institucionales de enseñanza, las estrategias a poner en juego y con ellas los regímenes de promoción. Se trata de que estos equipos, como sujetos de decisión, puedan hacer efectivo el cambio de la regulación desde una discusión profunda sobre los modos de comprender los procesos de adquisición de aprendizajes; haciendo claros, explícitos y compartidos los criterios de evaluación de manera de que las modificaciones propuestas efectivamente redunden en un </w:t>
      </w:r>
      <w:r>
        <w:rPr>
          <w:rFonts w:ascii="Trebuchet MS" w:hAnsi="Trebuchet MS" w:cs="Trebuchet MS"/>
          <w:kern w:val="1"/>
          <w:sz w:val="20"/>
          <w:szCs w:val="20"/>
          <w:lang w:val="es-ES"/>
        </w:rPr>
        <w:lastRenderedPageBreak/>
        <w:t>mejoramiento de la calidad de la experiencia escolar de todos los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estudiantes.</w:t>
      </w:r>
    </w:p>
    <w:p w14:paraId="5A46803C"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B27708" w14:textId="77777777" w:rsidR="00D01254" w:rsidRDefault="00D01254" w:rsidP="00D01254">
      <w:pPr>
        <w:widowControl w:val="0"/>
        <w:numPr>
          <w:ilvl w:val="0"/>
          <w:numId w:val="28"/>
        </w:numPr>
        <w:tabs>
          <w:tab w:val="left" w:pos="46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27.</w:t>
      </w:r>
      <w:r>
        <w:rPr>
          <w:rFonts w:ascii="Trebuchet MS" w:hAnsi="Trebuchet MS" w:cs="Trebuchet MS"/>
          <w:kern w:val="1"/>
          <w:sz w:val="20"/>
          <w:szCs w:val="20"/>
          <w:lang w:val="es-ES"/>
        </w:rPr>
        <w:tab/>
        <w:t>Tal como lo establece la Resolución CFE 103/10, los niños y niñas que certifiquen el nivel primario deben ser,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hasta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18</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años,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matriculados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algunas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alternativas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institucionales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nivel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secundario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común.</w:t>
      </w:r>
    </w:p>
    <w:p w14:paraId="228D43B4" w14:textId="77777777" w:rsidR="00D01254" w:rsidRDefault="00D01254" w:rsidP="00D0125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06B030B" w14:textId="77777777" w:rsidR="00D01254" w:rsidRDefault="00D01254" w:rsidP="00D01254">
      <w:pPr>
        <w:widowControl w:val="0"/>
        <w:numPr>
          <w:ilvl w:val="0"/>
          <w:numId w:val="29"/>
        </w:numPr>
        <w:tabs>
          <w:tab w:val="left" w:pos="5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28.</w:t>
      </w:r>
      <w:r>
        <w:rPr>
          <w:rFonts w:ascii="Trebuchet MS" w:hAnsi="Trebuchet MS" w:cs="Trebuchet MS"/>
          <w:kern w:val="1"/>
          <w:sz w:val="20"/>
          <w:szCs w:val="20"/>
          <w:lang w:val="es-ES"/>
        </w:rPr>
        <w:tab/>
        <w:t xml:space="preserve">Las niñas y los niños con discapacidad que hayan acreditado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 primaria, ingresarán y cursarán en una escuela secundaria común; con el asesoramiento, aportes de los docentes y equipos técnicos educativos de educación especial en las configuraciones de apoyo que se requieran. Los/as estudiantes que, aun teniendo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 primaria, no puedan acceder a la totalidad de los espacios curriculares del nivel secundario, asistirán a escuelas o centros de educación integral de adolescentes y jóvenes con discapacidad compartiendo, siempre que sea posible, espacios curriculares en escuelas con estudiantes de la misma franja</w:t>
      </w:r>
      <w:r>
        <w:rPr>
          <w:rFonts w:ascii="Trebuchet MS" w:hAnsi="Trebuchet MS" w:cs="Trebuchet MS"/>
          <w:spacing w:val="-4"/>
          <w:kern w:val="1"/>
          <w:sz w:val="20"/>
          <w:szCs w:val="20"/>
          <w:lang w:val="es-ES"/>
        </w:rPr>
        <w:t xml:space="preserve"> </w:t>
      </w:r>
      <w:proofErr w:type="spellStart"/>
      <w:r>
        <w:rPr>
          <w:rFonts w:ascii="Trebuchet MS" w:hAnsi="Trebuchet MS" w:cs="Trebuchet MS"/>
          <w:kern w:val="1"/>
          <w:sz w:val="20"/>
          <w:szCs w:val="20"/>
          <w:lang w:val="es-ES"/>
        </w:rPr>
        <w:t>etárea</w:t>
      </w:r>
      <w:proofErr w:type="spellEnd"/>
      <w:r>
        <w:rPr>
          <w:rFonts w:ascii="Trebuchet MS" w:hAnsi="Trebuchet MS" w:cs="Trebuchet MS"/>
          <w:kern w:val="1"/>
          <w:sz w:val="20"/>
          <w:szCs w:val="20"/>
          <w:lang w:val="es-ES"/>
        </w:rPr>
        <w:t>.</w:t>
      </w:r>
    </w:p>
    <w:p w14:paraId="44608EBE" w14:textId="77777777" w:rsidR="00D01254" w:rsidRDefault="00D01254" w:rsidP="00D01254">
      <w:pPr>
        <w:widowControl w:val="0"/>
        <w:numPr>
          <w:ilvl w:val="0"/>
          <w:numId w:val="29"/>
        </w:numPr>
        <w:tabs>
          <w:tab w:val="left" w:pos="467"/>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29.</w:t>
      </w:r>
      <w:r>
        <w:rPr>
          <w:rFonts w:ascii="Trebuchet MS" w:hAnsi="Trebuchet MS" w:cs="Trebuchet MS"/>
          <w:kern w:val="1"/>
          <w:sz w:val="20"/>
          <w:szCs w:val="20"/>
          <w:lang w:val="es-ES"/>
        </w:rPr>
        <w:tab/>
        <w:t>Los alumnos y alumnas que por cuestiones familiares se trasladen periódicamente de localidad dentro de una misma jurisdicción o bien entre jurisdicciones (trabajos transitorios de sus familias, tales como organismos del Estado niños y niñas que viven en circos y parques, trabajadores rurales, entre otros) deberán ver garantizada su asistencia y continuidad de los estudios en cualquier parte del territorio nacional. Contarán con un pase abierto desde la escuela de origen para poder facilitar su traslado en cualquier momento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año.</w:t>
      </w:r>
    </w:p>
    <w:p w14:paraId="4750EF62"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FC4CB6" w14:textId="77777777" w:rsidR="00D01254" w:rsidRDefault="00D01254" w:rsidP="00D01254">
      <w:pPr>
        <w:widowControl w:val="0"/>
        <w:numPr>
          <w:ilvl w:val="0"/>
          <w:numId w:val="30"/>
        </w:numPr>
        <w:tabs>
          <w:tab w:val="left" w:pos="461"/>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30.</w:t>
      </w:r>
      <w:r>
        <w:rPr>
          <w:rFonts w:ascii="Trebuchet MS" w:hAnsi="Trebuchet MS" w:cs="Trebuchet MS"/>
          <w:kern w:val="1"/>
          <w:sz w:val="20"/>
          <w:szCs w:val="20"/>
          <w:lang w:val="es-ES"/>
        </w:rPr>
        <w:tab/>
        <w:t>Los gobiernos educativos a través de sus instituciones reconocerán dos tipos de documentación: el boletín de la escuela de origen que acompañará a los alumnos a todas las instituciones que transite y un informe pedagógico que incluirá el detalle de los contenidos enseñados en cada una de ellas (elaborado por el o los docentes responsables y avalado por la dirección de la escuela). Las familias presentarán esta documentación en la escuela que, en su lugar de residencia transitoria eligieran, quedando una copia de las mismas en cada institución que recibiera al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estudiante.</w:t>
      </w:r>
    </w:p>
    <w:p w14:paraId="181787E2"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C4B18E" w14:textId="77777777" w:rsidR="00D01254" w:rsidRDefault="00D01254" w:rsidP="00D01254">
      <w:pPr>
        <w:widowControl w:val="0"/>
        <w:numPr>
          <w:ilvl w:val="0"/>
          <w:numId w:val="31"/>
        </w:numPr>
        <w:tabs>
          <w:tab w:val="left" w:pos="46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31.</w:t>
      </w:r>
      <w:r>
        <w:rPr>
          <w:rFonts w:ascii="Trebuchet MS" w:hAnsi="Trebuchet MS" w:cs="Trebuchet MS"/>
          <w:kern w:val="1"/>
          <w:sz w:val="20"/>
          <w:szCs w:val="20"/>
          <w:lang w:val="es-ES"/>
        </w:rPr>
        <w:tab/>
        <w:t>La escuela en la que estos estudiantes estén inscriptos en el último mes del año (sea la de origen u otra) será la responsable de acreditar el año lectivo teniendo en cuenta el conjunto de calificaciones que cada institución escolar ha realizado a lo largo del año sobre el mismo boletín. Los gobiernos educativos serán responsables de asegurar la escolaridad de estos niños en el grado de referencia y proponer los apoyos pedagógicos necesarios en los casos pertinentes. A los fines de un mejor seguimiento se conformará un registro interprovincial que incluirá los datos de los alumnos y alumnas que se trasladen en un plazo no mayor a dos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años.</w:t>
      </w:r>
    </w:p>
    <w:p w14:paraId="69DC8739"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3C9276" w14:textId="77777777" w:rsidR="00D01254" w:rsidRDefault="00D01254" w:rsidP="00D01254">
      <w:pPr>
        <w:widowControl w:val="0"/>
        <w:numPr>
          <w:ilvl w:val="0"/>
          <w:numId w:val="32"/>
        </w:numPr>
        <w:tabs>
          <w:tab w:val="left" w:pos="47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32.</w:t>
      </w:r>
      <w:r>
        <w:rPr>
          <w:rFonts w:ascii="Trebuchet MS" w:hAnsi="Trebuchet MS" w:cs="Trebuchet MS"/>
          <w:kern w:val="1"/>
          <w:sz w:val="20"/>
          <w:szCs w:val="20"/>
          <w:lang w:val="es-ES"/>
        </w:rPr>
        <w:tab/>
      </w:r>
    </w:p>
    <w:p w14:paraId="4ACBA344"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lang w:val="es-ES"/>
        </w:rPr>
      </w:pPr>
    </w:p>
    <w:p w14:paraId="01433ED9" w14:textId="77777777" w:rsidR="00D01254" w:rsidRDefault="00D01254" w:rsidP="00D01254">
      <w:pPr>
        <w:widowControl w:val="0"/>
        <w:numPr>
          <w:ilvl w:val="0"/>
          <w:numId w:val="33"/>
        </w:numPr>
        <w:tabs>
          <w:tab w:val="left" w:pos="4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posibilidades de pasaje entre las escuelas pertenecientes a la modalidad de educación especial y el nivel primario serán abiertas y flexibles, privilegiando siempre que sea posible la asistencia a la educación común. El nivel primario y la modalidad de educación especial serán </w:t>
      </w:r>
      <w:proofErr w:type="spellStart"/>
      <w:r>
        <w:rPr>
          <w:rFonts w:ascii="Trebuchet MS" w:hAnsi="Trebuchet MS" w:cs="Trebuchet MS"/>
          <w:kern w:val="1"/>
          <w:sz w:val="20"/>
          <w:szCs w:val="20"/>
          <w:lang w:val="es-ES"/>
        </w:rPr>
        <w:t>co</w:t>
      </w:r>
      <w:proofErr w:type="spellEnd"/>
      <w:r>
        <w:rPr>
          <w:rFonts w:ascii="Trebuchet MS" w:hAnsi="Trebuchet MS" w:cs="Trebuchet MS"/>
          <w:kern w:val="1"/>
          <w:sz w:val="20"/>
          <w:szCs w:val="20"/>
          <w:lang w:val="es-ES"/>
        </w:rPr>
        <w:t>-responsables de asegurar las configuraciones y prácticas de apoyo necesarias en los casos que sean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pertinentes.</w:t>
      </w:r>
    </w:p>
    <w:p w14:paraId="0BCEC7D4" w14:textId="77777777" w:rsidR="00D01254" w:rsidRDefault="00D01254" w:rsidP="00D01254">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6D4BDF3" w14:textId="77777777" w:rsidR="00D01254" w:rsidRDefault="00D01254" w:rsidP="00D01254">
      <w:pPr>
        <w:widowControl w:val="0"/>
        <w:numPr>
          <w:ilvl w:val="0"/>
          <w:numId w:val="34"/>
        </w:numPr>
        <w:tabs>
          <w:tab w:val="left" w:pos="471"/>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33.</w:t>
      </w:r>
      <w:r>
        <w:rPr>
          <w:rFonts w:ascii="Trebuchet MS" w:hAnsi="Trebuchet MS" w:cs="Trebuchet MS"/>
          <w:kern w:val="1"/>
          <w:sz w:val="20"/>
          <w:szCs w:val="20"/>
          <w:lang w:val="es-ES"/>
        </w:rPr>
        <w:tab/>
        <w:t>Las escuelas primarias con sus modalidades se rigen por el principio de inclusión, por tanto el pasaje de un estudiante con discapacidad de una escuela de nivel primario común a una de la modalidad, deberá ser una decisión de carácter excepcional. Las autoridades del nivel primario y de la educación especial serán quienes tomen tal decisión considerando las opiniones del estudiante y su familia Siempre que sea posible, se privilegiará la escolarización en la escuela de educación común con los apoyos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pertinentes.</w:t>
      </w:r>
    </w:p>
    <w:p w14:paraId="7A87DF83" w14:textId="77777777" w:rsidR="00D01254" w:rsidRDefault="00D01254" w:rsidP="00D0125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996B10B" w14:textId="77777777" w:rsidR="00D01254" w:rsidRDefault="00D01254" w:rsidP="00D01254">
      <w:pPr>
        <w:widowControl w:val="0"/>
        <w:numPr>
          <w:ilvl w:val="0"/>
          <w:numId w:val="35"/>
        </w:numPr>
        <w:tabs>
          <w:tab w:val="left" w:pos="4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34.</w:t>
      </w:r>
      <w:r>
        <w:rPr>
          <w:rFonts w:ascii="Trebuchet MS" w:hAnsi="Trebuchet MS" w:cs="Trebuchet MS"/>
          <w:kern w:val="1"/>
          <w:sz w:val="20"/>
          <w:szCs w:val="20"/>
          <w:lang w:val="es-ES"/>
        </w:rPr>
        <w:tab/>
        <w:t>Los niños o niñas que requieran de internación clínica en el último trimestre del año y no puedan, por su estado clínico, ser evaluados, podrán promocionar el grado a partir de la ponderación del desempeño académico obtenido a lo largo del ciclo lectivo. Se propiciarán todas las estrategias necesarias para que los vínculos entre los niños y su escuela se sostenga mientras perdure la enfermedad y el tratamiento. En estos casos, las escuelas hospitalarias y domiciliarias como así también los servicios domiciliarios y hospitalarios serán responsables de registrar la asistencia, calificar y promover a los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alumnos.</w:t>
      </w:r>
    </w:p>
    <w:p w14:paraId="3512CC63"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37C031" w14:textId="77777777" w:rsidR="00D01254" w:rsidRDefault="00D01254" w:rsidP="00D01254">
      <w:pPr>
        <w:widowControl w:val="0"/>
        <w:numPr>
          <w:ilvl w:val="0"/>
          <w:numId w:val="36"/>
        </w:numPr>
        <w:tabs>
          <w:tab w:val="left" w:pos="49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35.</w:t>
      </w:r>
      <w:r>
        <w:rPr>
          <w:rFonts w:ascii="Trebuchet MS" w:hAnsi="Trebuchet MS" w:cs="Trebuchet MS"/>
          <w:kern w:val="1"/>
          <w:sz w:val="20"/>
          <w:szCs w:val="20"/>
          <w:lang w:val="es-ES"/>
        </w:rPr>
        <w:tab/>
        <w:t xml:space="preserve">Las jurisdicciones arbitrarán las medidas pedagógicas e institucionales necesarias para </w:t>
      </w:r>
      <w:r>
        <w:rPr>
          <w:rFonts w:ascii="Trebuchet MS" w:hAnsi="Trebuchet MS" w:cs="Trebuchet MS"/>
          <w:kern w:val="1"/>
          <w:sz w:val="20"/>
          <w:szCs w:val="20"/>
          <w:lang w:val="es-ES"/>
        </w:rPr>
        <w:lastRenderedPageBreak/>
        <w:t>implementar y alentar procesos de articulación entre el nivel primario y el nivel secundario. El mismo supone a nivel de gobierno la necesidad de que las direcciones de los niveles y modalidades respectivas generen condiciones curriculares y pedagógicas que hagan visible las continuidades necesarias para garantizar el pasaje de todos las y 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estudiantes.</w:t>
      </w:r>
    </w:p>
    <w:p w14:paraId="4ED4E38D" w14:textId="77777777" w:rsidR="00D01254" w:rsidRDefault="00D01254" w:rsidP="00D0125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82A8A90" w14:textId="77777777" w:rsidR="00D01254" w:rsidRDefault="00D01254" w:rsidP="00D01254">
      <w:pPr>
        <w:widowControl w:val="0"/>
        <w:numPr>
          <w:ilvl w:val="0"/>
          <w:numId w:val="37"/>
        </w:numPr>
        <w:tabs>
          <w:tab w:val="left" w:pos="47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36.</w:t>
      </w:r>
      <w:r>
        <w:rPr>
          <w:rFonts w:ascii="Trebuchet MS" w:hAnsi="Trebuchet MS" w:cs="Trebuchet MS"/>
          <w:kern w:val="1"/>
          <w:sz w:val="20"/>
          <w:szCs w:val="20"/>
          <w:lang w:val="es-ES"/>
        </w:rPr>
        <w:tab/>
        <w:t>Las jurisdicciones diseñarán las medidas administrativas necesarias para el registro y seguimiento de los alumnos en el pasaje de la escuela primaria a la secundaria. En un plazo no mayor a dos años se pondrá en vigencia el pase administrativo entre un nivel y el otro, de modo de que cada institución de nivel primario pueda contar con un registro respecto de la continuidad de los estudios de todos sus alumnos. Se instrumentarán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medidas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generen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legajo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único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alumno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compartido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ambos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niveles.</w:t>
      </w:r>
    </w:p>
    <w:p w14:paraId="73129731"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3F2DAF" w14:textId="77777777" w:rsidR="00D01254" w:rsidRDefault="00D01254" w:rsidP="00D01254">
      <w:pPr>
        <w:widowControl w:val="0"/>
        <w:numPr>
          <w:ilvl w:val="0"/>
          <w:numId w:val="38"/>
        </w:numPr>
        <w:tabs>
          <w:tab w:val="left" w:pos="4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37.</w:t>
      </w:r>
      <w:r>
        <w:rPr>
          <w:rFonts w:ascii="Trebuchet MS" w:hAnsi="Trebuchet MS" w:cs="Trebuchet MS"/>
          <w:kern w:val="1"/>
          <w:sz w:val="20"/>
          <w:szCs w:val="20"/>
          <w:lang w:val="es-ES"/>
        </w:rPr>
        <w:tab/>
        <w:t>Las presentes medidas se arbitrarán en todo el país, independientemente del espacio de localización de la escuela y su modelo de organización, de modo de garantizar la igualdad de oportunidades para niños y niñas que habiten los diversos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territorios</w:t>
      </w:r>
    </w:p>
    <w:p w14:paraId="31C86838"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52F76B" w14:textId="77777777" w:rsidR="00D01254" w:rsidRDefault="00D01254" w:rsidP="00D01254">
      <w:pPr>
        <w:widowControl w:val="0"/>
        <w:numPr>
          <w:ilvl w:val="0"/>
          <w:numId w:val="39"/>
        </w:numPr>
        <w:tabs>
          <w:tab w:val="left" w:pos="5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38.</w:t>
      </w:r>
      <w:r>
        <w:rPr>
          <w:rFonts w:ascii="Trebuchet MS" w:hAnsi="Trebuchet MS" w:cs="Trebuchet MS"/>
          <w:kern w:val="1"/>
          <w:sz w:val="20"/>
          <w:szCs w:val="20"/>
          <w:lang w:val="es-ES"/>
        </w:rPr>
        <w:tab/>
        <w:t>Las jurisdicciones se comprometen a realizar durante el año 2012, las modificaciones normativas y reglamentarias que sean necesarias para dar cumplimiento a esta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resolución.</w:t>
      </w:r>
    </w:p>
    <w:p w14:paraId="39EAC439" w14:textId="77777777" w:rsidR="00D01254" w:rsidRDefault="00D01254" w:rsidP="00D01254">
      <w:pPr>
        <w:widowControl w:val="0"/>
        <w:numPr>
          <w:ilvl w:val="0"/>
          <w:numId w:val="39"/>
        </w:numPr>
        <w:tabs>
          <w:tab w:val="left" w:pos="462"/>
        </w:tabs>
        <w:autoSpaceDE w:val="0"/>
        <w:autoSpaceDN w:val="0"/>
        <w:adjustRightInd w:val="0"/>
        <w:spacing w:before="90"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39.</w:t>
      </w:r>
      <w:r>
        <w:rPr>
          <w:rFonts w:ascii="Trebuchet MS" w:hAnsi="Trebuchet MS" w:cs="Trebuchet MS"/>
          <w:kern w:val="1"/>
          <w:sz w:val="20"/>
          <w:szCs w:val="20"/>
          <w:lang w:val="es-ES"/>
        </w:rPr>
        <w:tab/>
      </w:r>
    </w:p>
    <w:p w14:paraId="7E769E63"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lang w:val="es-ES"/>
        </w:rPr>
      </w:pPr>
    </w:p>
    <w:p w14:paraId="27A73A72" w14:textId="77777777" w:rsidR="00D01254" w:rsidRDefault="00D01254" w:rsidP="00D01254">
      <w:pPr>
        <w:widowControl w:val="0"/>
        <w:numPr>
          <w:ilvl w:val="0"/>
          <w:numId w:val="40"/>
        </w:numPr>
        <w:tabs>
          <w:tab w:val="left" w:pos="462"/>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Las jurisdicciones que aún no hubieran implementado estas modificaciones, lo harán de manera gradual y progresiva a partir del año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2013.</w:t>
      </w:r>
    </w:p>
    <w:p w14:paraId="5579F244" w14:textId="77777777" w:rsidR="00D01254" w:rsidRDefault="00D01254" w:rsidP="00D0125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500627" w14:textId="77777777" w:rsidR="00D01254" w:rsidRDefault="00D01254" w:rsidP="00D01254">
      <w:pPr>
        <w:widowControl w:val="0"/>
        <w:numPr>
          <w:ilvl w:val="0"/>
          <w:numId w:val="41"/>
        </w:numPr>
        <w:tabs>
          <w:tab w:val="left" w:pos="458"/>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40.</w:t>
      </w:r>
      <w:r>
        <w:rPr>
          <w:rFonts w:ascii="Trebuchet MS" w:hAnsi="Trebuchet MS" w:cs="Trebuchet MS"/>
          <w:kern w:val="1"/>
          <w:sz w:val="20"/>
          <w:szCs w:val="20"/>
          <w:lang w:val="es-ES"/>
        </w:rPr>
        <w:tab/>
        <w:t>El Ministerio de Educación de la Nación brindará asistencia técnica y</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financiera.</w:t>
      </w:r>
    </w:p>
    <w:p w14:paraId="6CDB0543" w14:textId="39F7095A" w:rsidR="00592F1B" w:rsidRPr="00AC3BA6" w:rsidRDefault="00592F1B" w:rsidP="00D0125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01254"/>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3276</Words>
  <Characters>18021</Characters>
  <Application>Microsoft Macintosh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2021-05-20T20:48:00Z</dcterms:created>
  <dcterms:modified xsi:type="dcterms:W3CDTF">2021-05-20T20:48:00Z</dcterms:modified>
</cp:coreProperties>
</file>