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685AD" w14:textId="77777777" w:rsidR="0039020D" w:rsidRDefault="0039020D" w:rsidP="0039020D">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46131CDB" w14:textId="77777777" w:rsidR="0039020D" w:rsidRDefault="0039020D" w:rsidP="0039020D">
      <w:pPr>
        <w:widowControl w:val="0"/>
        <w:autoSpaceDE w:val="0"/>
        <w:autoSpaceDN w:val="0"/>
        <w:adjustRightInd w:val="0"/>
        <w:spacing w:after="0" w:line="20" w:lineRule="exact"/>
        <w:ind w:right="-1"/>
        <w:rPr>
          <w:rFonts w:ascii="Times New Roman" w:hAnsi="Times New Roman" w:cs="Times New Roman"/>
          <w:sz w:val="2"/>
          <w:szCs w:val="2"/>
          <w:lang w:val="es-ES"/>
        </w:rPr>
      </w:pPr>
    </w:p>
    <w:p w14:paraId="6646E3AF" w14:textId="77777777" w:rsidR="0039020D" w:rsidRDefault="0039020D" w:rsidP="0039020D">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0071F6F3" w14:textId="77777777" w:rsidR="0039020D" w:rsidRDefault="0039020D" w:rsidP="0039020D">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 TÉCNICA PROFESIONAL: MEJORA DE LA CALIDAD Y CONDICIONES INSTITUCIONALES </w:t>
      </w:r>
    </w:p>
    <w:p w14:paraId="4899A084" w14:textId="2F1B8771" w:rsidR="0039020D" w:rsidRDefault="0039020D" w:rsidP="0039020D">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48AFD007" w14:textId="77777777" w:rsidR="0039020D" w:rsidRDefault="0039020D" w:rsidP="0039020D">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175/12</w:t>
      </w:r>
    </w:p>
    <w:p w14:paraId="1BCC81D9" w14:textId="77777777" w:rsidR="0039020D" w:rsidRDefault="0039020D" w:rsidP="0039020D">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0F9E2B7D" w14:textId="77777777" w:rsidR="0039020D" w:rsidRDefault="0039020D" w:rsidP="0039020D">
      <w:pPr>
        <w:widowControl w:val="0"/>
        <w:autoSpaceDE w:val="0"/>
        <w:autoSpaceDN w:val="0"/>
        <w:adjustRightInd w:val="0"/>
        <w:spacing w:before="101"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15 de Agosto de 2012</w:t>
      </w:r>
    </w:p>
    <w:p w14:paraId="41F72317" w14:textId="77777777" w:rsidR="0039020D" w:rsidRDefault="0039020D" w:rsidP="0039020D">
      <w:pPr>
        <w:widowControl w:val="0"/>
        <w:autoSpaceDE w:val="0"/>
        <w:autoSpaceDN w:val="0"/>
        <w:adjustRightInd w:val="0"/>
        <w:spacing w:after="0" w:line="240" w:lineRule="auto"/>
        <w:ind w:right="-1"/>
        <w:rPr>
          <w:rFonts w:ascii="Times New Roman" w:hAnsi="Times New Roman" w:cs="Times New Roman"/>
          <w:lang w:val="es-ES"/>
        </w:rPr>
      </w:pPr>
    </w:p>
    <w:p w14:paraId="410A0A8A" w14:textId="77777777" w:rsidR="0039020D" w:rsidRDefault="0039020D" w:rsidP="0039020D">
      <w:pPr>
        <w:widowControl w:val="0"/>
        <w:autoSpaceDE w:val="0"/>
        <w:autoSpaceDN w:val="0"/>
        <w:adjustRightInd w:val="0"/>
        <w:spacing w:before="11" w:after="0" w:line="240" w:lineRule="auto"/>
        <w:ind w:right="-1"/>
        <w:rPr>
          <w:rFonts w:ascii="Times New Roman" w:hAnsi="Times New Roman" w:cs="Times New Roman"/>
          <w:sz w:val="17"/>
          <w:szCs w:val="17"/>
          <w:lang w:val="es-ES"/>
        </w:rPr>
      </w:pPr>
    </w:p>
    <w:p w14:paraId="39431A2A" w14:textId="77777777" w:rsidR="0039020D" w:rsidRDefault="0039020D" w:rsidP="0039020D">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 Ley de Educación Nacional Nº 26.206, la Ley de Educación Técnico Profesional Nº 26.058 y las Resoluciones CFE Nos. 62/08</w:t>
      </w:r>
      <w:r>
        <w:rPr>
          <w:rFonts w:ascii="Trebuchet MS" w:hAnsi="Trebuchet MS" w:cs="Trebuchet MS"/>
          <w:color w:val="C10000"/>
          <w:sz w:val="20"/>
          <w:szCs w:val="20"/>
          <w:lang w:val="es-ES"/>
        </w:rPr>
        <w:t xml:space="preserve">, </w:t>
      </w:r>
      <w:r>
        <w:rPr>
          <w:rFonts w:ascii="Trebuchet MS" w:hAnsi="Trebuchet MS" w:cs="Trebuchet MS"/>
          <w:sz w:val="20"/>
          <w:szCs w:val="20"/>
          <w:lang w:val="es-ES"/>
        </w:rPr>
        <w:t>64/08, 82/09, 106/10, 114/10, 125/10, 145/11 y 146/11 y,</w:t>
      </w:r>
    </w:p>
    <w:p w14:paraId="5E4F826A" w14:textId="77777777" w:rsidR="0039020D" w:rsidRDefault="0039020D" w:rsidP="0039020D">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B4B0F73" w14:textId="77777777" w:rsidR="0039020D" w:rsidRDefault="0039020D" w:rsidP="0039020D">
      <w:pPr>
        <w:widowControl w:val="0"/>
        <w:autoSpaceDE w:val="0"/>
        <w:autoSpaceDN w:val="0"/>
        <w:adjustRightInd w:val="0"/>
        <w:spacing w:after="0" w:line="232" w:lineRule="exact"/>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799C7AAD" w14:textId="77777777" w:rsidR="0039020D" w:rsidRDefault="0039020D" w:rsidP="0039020D">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Ley de Educación Nacional establece, en el Título II Capítulos V y VI, que la Educación Técnico Profesional, en lo relativo a la educación secundaria, la educación superior y la formación profesional de la modalidad, se rige por las disposiciones de la Ley Nº 26.058.</w:t>
      </w:r>
    </w:p>
    <w:p w14:paraId="031B3F21" w14:textId="77777777" w:rsidR="0039020D" w:rsidRDefault="0039020D" w:rsidP="0039020D">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7518744" w14:textId="77777777" w:rsidR="0039020D" w:rsidRDefault="0039020D" w:rsidP="0039020D">
      <w:pPr>
        <w:widowControl w:val="0"/>
        <w:autoSpaceDE w:val="0"/>
        <w:autoSpaceDN w:val="0"/>
        <w:adjustRightInd w:val="0"/>
        <w:spacing w:after="0" w:line="240" w:lineRule="auto"/>
        <w:ind w:right="-1"/>
        <w:jc w:val="both"/>
        <w:rPr>
          <w:rFonts w:ascii="Times New Roman" w:hAnsi="Times New Roman" w:cs="Times New Roman"/>
          <w:sz w:val="20"/>
          <w:szCs w:val="20"/>
          <w:lang w:val="es-ES"/>
        </w:rPr>
      </w:pPr>
    </w:p>
    <w:p w14:paraId="1DBF10FA" w14:textId="77777777" w:rsidR="0039020D" w:rsidRDefault="0039020D" w:rsidP="0039020D">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5FB060F" w14:textId="77777777" w:rsidR="0039020D" w:rsidRDefault="0039020D" w:rsidP="0039020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los objetivos enunciados en la Ley Nº 26.058 refieren a la necesidad de alcanzar mayores niveles de equidad, calidad, pertinencia, relevancia y efectividad de la Educación Técnico Profesional a través del fortalecimiento y mejora continua de las instituciones y los programas de educación técnico profesional, en el marco de políticas nacionales y estrategias de carácter federal que integren las particularidades y diversidades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jurisdiccionales.</w:t>
      </w:r>
    </w:p>
    <w:p w14:paraId="4A2452FA" w14:textId="77777777" w:rsidR="0039020D" w:rsidRDefault="0039020D" w:rsidP="0039020D">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E901F61" w14:textId="77777777" w:rsidR="0039020D" w:rsidRDefault="0039020D" w:rsidP="0039020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Ley N° 26.058 establece el proceso de Homologación de Títulos y Certificados, crea el Registro  Federal de Instituciones de Educación Técnico Profesional, el Catálogo Nacional de Títulos y Certificados y el Fondo Nacional para la Educación Técnico Profesional con la finalidad de dar cumplimiento a los objetivos y propósitos enunciados en el considerando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precedente.</w:t>
      </w:r>
    </w:p>
    <w:p w14:paraId="2A10AEEC" w14:textId="77777777" w:rsidR="0039020D" w:rsidRDefault="0039020D" w:rsidP="0039020D">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D134FC0" w14:textId="77777777" w:rsidR="0039020D" w:rsidRDefault="0039020D" w:rsidP="0039020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partir de considerar los logros alcanzados relativos a la visión sistémica de la modalidad,  los resultados obtenidos con relación a la optimización de las condiciones institucionales y la mejora de la calidad de los procesos de enseñanza y aprendizaje, la experiencia y capacidad de gestión acumulada en los diferentes equipos de trabajo nacionales y jurisdiccionales que intervienen, así como la Declaración y aportes de la Conferencia Nacional de Educación Técnico Profesional en el Bicentenario realizada en noviembre de 2010, todo ello en el marco del Programa de Mejora Continua de la Calidad de la Educación Técnico Profesional implementado en el período 2006 – 2011, se evidencia la necesidad de introducir importantes cambios en el programa aprobado por Resolución CFE N° 62/08, de modo de poner en acción estrategias que alcancen una mayor incidencia en los planos territorial, institucional y de aula y generen las transformaciones cualitativas propuestas en esta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etapa.</w:t>
      </w:r>
    </w:p>
    <w:p w14:paraId="48E7658C" w14:textId="77777777" w:rsidR="0039020D" w:rsidRDefault="0039020D" w:rsidP="003902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2F7BCE" w14:textId="77777777" w:rsidR="0039020D" w:rsidRDefault="0039020D" w:rsidP="0039020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temática que aborda la presente resolución fue considerada y analizada en los encuentros nacionales y regionales de la Comisión Federal para la Educación Técnico Profesional y en las reuniones de la Comisión Técnica del Consejo Nacional de Educación, Trabajo y Producción.</w:t>
      </w:r>
    </w:p>
    <w:p w14:paraId="68AD86C5" w14:textId="77777777" w:rsidR="0039020D" w:rsidRDefault="0039020D" w:rsidP="003902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41813FF" w14:textId="77777777" w:rsidR="0039020D" w:rsidRDefault="0039020D" w:rsidP="0039020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MINISTERIO DE EDUCACIÓN en acuerdo con el CONSEJO FEDERAL DE EDUCACIÓN, debe establecer las políticas, los lineamientos, los criterios, las estrategias y los procedimientos que definen y orientan la aplicación de la Ley de Educación Técnico Profesional Nº 26.058.</w:t>
      </w:r>
    </w:p>
    <w:p w14:paraId="0AC41513" w14:textId="77777777" w:rsidR="0039020D" w:rsidRDefault="0039020D" w:rsidP="003902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F6941E9" w14:textId="77777777" w:rsidR="0039020D" w:rsidRDefault="0039020D" w:rsidP="0039020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los integrantes de este Consejo Federal a excepción de las provincias de Buenos Aires y Corrientes por ausencia de sus representantes.</w:t>
      </w:r>
    </w:p>
    <w:p w14:paraId="2412507A" w14:textId="77777777" w:rsidR="0039020D" w:rsidRDefault="0039020D" w:rsidP="003902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27D89C" w14:textId="77777777" w:rsidR="0039020D" w:rsidRDefault="0039020D" w:rsidP="0039020D">
      <w:pPr>
        <w:widowControl w:val="0"/>
        <w:autoSpaceDE w:val="0"/>
        <w:autoSpaceDN w:val="0"/>
        <w:adjustRightInd w:val="0"/>
        <w:spacing w:before="1" w:after="0" w:line="232" w:lineRule="exact"/>
        <w:ind w:right="-1"/>
        <w:jc w:val="center"/>
        <w:rPr>
          <w:rFonts w:ascii="Trebuchet MS" w:hAnsi="Trebuchet MS" w:cs="Trebuchet MS"/>
          <w:b/>
          <w:bCs/>
          <w:kern w:val="1"/>
          <w:sz w:val="20"/>
          <w:szCs w:val="20"/>
          <w:lang w:val="es-ES"/>
        </w:rPr>
      </w:pPr>
    </w:p>
    <w:p w14:paraId="69ADC6DA" w14:textId="77777777" w:rsidR="0039020D" w:rsidRDefault="0039020D" w:rsidP="0039020D">
      <w:pPr>
        <w:widowControl w:val="0"/>
        <w:autoSpaceDE w:val="0"/>
        <w:autoSpaceDN w:val="0"/>
        <w:adjustRightInd w:val="0"/>
        <w:spacing w:before="1" w:after="0" w:line="232" w:lineRule="exact"/>
        <w:ind w:right="-1"/>
        <w:jc w:val="center"/>
        <w:rPr>
          <w:rFonts w:ascii="Trebuchet MS" w:hAnsi="Trebuchet MS" w:cs="Trebuchet MS"/>
          <w:b/>
          <w:bCs/>
          <w:kern w:val="1"/>
          <w:sz w:val="20"/>
          <w:szCs w:val="20"/>
          <w:lang w:val="es-ES"/>
        </w:rPr>
      </w:pPr>
    </w:p>
    <w:p w14:paraId="4AB28A30" w14:textId="77777777" w:rsidR="0039020D" w:rsidRDefault="0039020D" w:rsidP="0039020D">
      <w:pPr>
        <w:widowControl w:val="0"/>
        <w:autoSpaceDE w:val="0"/>
        <w:autoSpaceDN w:val="0"/>
        <w:adjustRightInd w:val="0"/>
        <w:spacing w:before="1" w:after="0" w:line="232" w:lineRule="exact"/>
        <w:ind w:right="-1"/>
        <w:jc w:val="center"/>
        <w:rPr>
          <w:rFonts w:ascii="Trebuchet MS" w:hAnsi="Trebuchet MS" w:cs="Trebuchet MS"/>
          <w:b/>
          <w:bCs/>
          <w:kern w:val="1"/>
          <w:sz w:val="20"/>
          <w:szCs w:val="20"/>
          <w:lang w:val="es-ES"/>
        </w:rPr>
      </w:pPr>
    </w:p>
    <w:p w14:paraId="6DA62113" w14:textId="77777777" w:rsidR="0039020D" w:rsidRDefault="0039020D" w:rsidP="0039020D">
      <w:pPr>
        <w:widowControl w:val="0"/>
        <w:autoSpaceDE w:val="0"/>
        <w:autoSpaceDN w:val="0"/>
        <w:adjustRightInd w:val="0"/>
        <w:spacing w:before="1" w:after="0" w:line="232" w:lineRule="exact"/>
        <w:ind w:right="-1"/>
        <w:rPr>
          <w:rFonts w:ascii="Trebuchet MS" w:hAnsi="Trebuchet MS" w:cs="Trebuchet MS"/>
          <w:b/>
          <w:bCs/>
          <w:kern w:val="1"/>
          <w:sz w:val="20"/>
          <w:szCs w:val="20"/>
          <w:lang w:val="es-ES"/>
        </w:rPr>
      </w:pPr>
      <w:bookmarkStart w:id="0" w:name="_GoBack"/>
      <w:bookmarkEnd w:id="0"/>
      <w:r>
        <w:rPr>
          <w:rFonts w:ascii="Trebuchet MS" w:hAnsi="Trebuchet MS" w:cs="Trebuchet MS"/>
          <w:b/>
          <w:bCs/>
          <w:kern w:val="1"/>
          <w:sz w:val="20"/>
          <w:szCs w:val="20"/>
          <w:lang w:val="es-ES"/>
        </w:rPr>
        <w:t>Por ello,</w:t>
      </w:r>
    </w:p>
    <w:p w14:paraId="194FBE0E" w14:textId="77777777" w:rsidR="0039020D" w:rsidRDefault="0039020D" w:rsidP="0039020D">
      <w:pPr>
        <w:widowControl w:val="0"/>
        <w:autoSpaceDE w:val="0"/>
        <w:autoSpaceDN w:val="0"/>
        <w:adjustRightInd w:val="0"/>
        <w:spacing w:after="0" w:line="240" w:lineRule="auto"/>
        <w:ind w:right="-1"/>
        <w:jc w:val="center"/>
        <w:rPr>
          <w:rFonts w:ascii="Trebuchet MS" w:hAnsi="Trebuchet MS" w:cs="Trebuchet MS"/>
          <w:kern w:val="1"/>
          <w:sz w:val="20"/>
          <w:szCs w:val="20"/>
          <w:lang w:val="es-ES"/>
        </w:rPr>
      </w:pPr>
      <w:r>
        <w:rPr>
          <w:rFonts w:ascii="Trebuchet MS" w:hAnsi="Trebuchet MS" w:cs="Trebuchet MS"/>
          <w:b/>
          <w:bCs/>
          <w:kern w:val="1"/>
          <w:sz w:val="20"/>
          <w:szCs w:val="20"/>
          <w:lang w:val="es-ES"/>
        </w:rPr>
        <w:t>LA XLIV ASAMBLEA DEL CONSEJO FEDERAL DE EDUCACIÓN RESUELVE</w:t>
      </w:r>
      <w:r>
        <w:rPr>
          <w:rFonts w:ascii="Trebuchet MS" w:hAnsi="Trebuchet MS" w:cs="Trebuchet MS"/>
          <w:kern w:val="1"/>
          <w:sz w:val="20"/>
          <w:szCs w:val="20"/>
          <w:lang w:val="es-ES"/>
        </w:rPr>
        <w:t>:</w:t>
      </w:r>
    </w:p>
    <w:p w14:paraId="233AE525" w14:textId="77777777" w:rsidR="0039020D" w:rsidRDefault="0039020D" w:rsidP="003902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758FEA" w14:textId="77777777" w:rsidR="0039020D" w:rsidRDefault="0039020D" w:rsidP="0039020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Aprobar el documento “Mejora continua de la calidad de los entornos formativos y las condiciones institucionales de la Educación Técnico Profesional”, que como Anexo I es parte integrante de la</w:t>
      </w:r>
    </w:p>
    <w:p w14:paraId="2A1EC4D3" w14:textId="77777777" w:rsidR="0039020D" w:rsidRDefault="0039020D" w:rsidP="0039020D">
      <w:pPr>
        <w:widowControl w:val="0"/>
        <w:autoSpaceDE w:val="0"/>
        <w:autoSpaceDN w:val="0"/>
        <w:adjustRightInd w:val="0"/>
        <w:spacing w:before="90" w:after="0" w:line="240" w:lineRule="auto"/>
        <w:ind w:right="-1"/>
        <w:rPr>
          <w:rFonts w:ascii="Times New Roman" w:hAnsi="Times New Roman" w:cs="Times New Roman"/>
          <w:kern w:val="1"/>
          <w:sz w:val="20"/>
          <w:szCs w:val="20"/>
          <w:lang w:val="es-ES"/>
        </w:rPr>
      </w:pPr>
    </w:p>
    <w:p w14:paraId="79718AB2" w14:textId="77777777" w:rsidR="0039020D" w:rsidRDefault="0039020D" w:rsidP="003902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E2C9C6" w14:textId="77777777" w:rsidR="0039020D" w:rsidRDefault="0039020D" w:rsidP="0039020D">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presente Resolución, en remplazo del documento aprobado por Resolución CFE Nº 62/08 Anexo I y de las Resoluciones CFE Nos. 106/10, 125/10, 145/11 y 146/11.</w:t>
      </w:r>
    </w:p>
    <w:p w14:paraId="7E637530" w14:textId="77777777" w:rsidR="0039020D" w:rsidRDefault="0039020D" w:rsidP="003902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8939E7C" w14:textId="77777777" w:rsidR="0039020D" w:rsidRDefault="0039020D" w:rsidP="0039020D">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Aprobar el coeficiente de distribución del Fondo Nacional para la Educación Técnico Profesional, que se agrega como Anexo II y es parte integrante de la presente Resolución.</w:t>
      </w:r>
    </w:p>
    <w:p w14:paraId="6233D230" w14:textId="77777777" w:rsidR="0039020D" w:rsidRDefault="0039020D" w:rsidP="0039020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3º.- </w:t>
      </w:r>
      <w:r>
        <w:rPr>
          <w:rFonts w:ascii="Trebuchet MS" w:hAnsi="Trebuchet MS" w:cs="Trebuchet MS"/>
          <w:kern w:val="1"/>
          <w:sz w:val="20"/>
          <w:szCs w:val="20"/>
          <w:lang w:val="es-ES"/>
        </w:rPr>
        <w:t>Establecer que los lineamientos, criterios y procedimientos indicados en los artículos precedentes tendrán vigencia a partir del 1° de octubre del presente año.</w:t>
      </w:r>
    </w:p>
    <w:p w14:paraId="79135ECA" w14:textId="77777777" w:rsidR="0039020D" w:rsidRDefault="0039020D" w:rsidP="0039020D">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7728660A" w14:textId="77777777" w:rsidR="0039020D" w:rsidRDefault="0039020D" w:rsidP="0039020D">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4º.- </w:t>
      </w:r>
      <w:r>
        <w:rPr>
          <w:rFonts w:ascii="Trebuchet MS" w:hAnsi="Trebuchet MS" w:cs="Trebuchet MS"/>
          <w:kern w:val="1"/>
          <w:sz w:val="20"/>
          <w:szCs w:val="20"/>
          <w:lang w:val="es-ES"/>
        </w:rPr>
        <w:t>Regístrese, comuníquese, notifíquese a los integrantes del CONSEJO FEDERAL DE EDUCACIÓN y cumplido, archívese.</w:t>
      </w:r>
    </w:p>
    <w:p w14:paraId="63DF74CF" w14:textId="77777777" w:rsidR="0039020D" w:rsidRDefault="0039020D" w:rsidP="0039020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E9107B0" w14:textId="77777777" w:rsidR="0039020D" w:rsidRDefault="0039020D" w:rsidP="0039020D">
      <w:pPr>
        <w:widowControl w:val="0"/>
        <w:autoSpaceDE w:val="0"/>
        <w:autoSpaceDN w:val="0"/>
        <w:adjustRightInd w:val="0"/>
        <w:spacing w:after="0" w:line="240" w:lineRule="auto"/>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Fdo</w:t>
      </w:r>
      <w:proofErr w:type="spellEnd"/>
      <w:r>
        <w:rPr>
          <w:rFonts w:ascii="Trebuchet MS" w:hAnsi="Trebuchet MS" w:cs="Trebuchet MS"/>
          <w:kern w:val="1"/>
          <w:sz w:val="20"/>
          <w:szCs w:val="20"/>
          <w:lang w:val="es-ES"/>
        </w:rPr>
        <w:t xml:space="preserve">: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w:t>
      </w:r>
    </w:p>
    <w:p w14:paraId="6CE0A049" w14:textId="77777777" w:rsidR="0039020D" w:rsidRDefault="0039020D" w:rsidP="0039020D">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 Consejo Federal de Educación</w:t>
      </w:r>
    </w:p>
    <w:p w14:paraId="6CDB0543" w14:textId="39F7095A" w:rsidR="00592F1B" w:rsidRPr="00AC3BA6" w:rsidRDefault="00592F1B" w:rsidP="0039020D">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9020D"/>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3617</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2021-05-20T14:41:00Z</dcterms:created>
  <dcterms:modified xsi:type="dcterms:W3CDTF">2021-05-20T14:41:00Z</dcterms:modified>
</cp:coreProperties>
</file>