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4DB0E" w14:textId="77777777" w:rsidR="004F6218" w:rsidRDefault="004F6218" w:rsidP="004F6218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78D4A583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0DE957E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619C2D6" w14:textId="77777777" w:rsidR="004F6218" w:rsidRDefault="004F6218" w:rsidP="004F621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75696A2F" w14:textId="77777777" w:rsidR="004F6218" w:rsidRDefault="004F6218" w:rsidP="004F6218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BASES PARA LA ORGANIZACIÓN DE LAS TECNICATURAS SUPERIORES </w:t>
      </w:r>
    </w:p>
    <w:p w14:paraId="65547131" w14:textId="681B7A64" w:rsidR="004F6218" w:rsidRDefault="004F6218" w:rsidP="004F6218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NO UNIVERSITARIAS</w:t>
      </w:r>
    </w:p>
    <w:p w14:paraId="738762C1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01334F22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CONSEJO FEDERAL DE CULTURA Y EDUCACIÓN </w:t>
      </w:r>
    </w:p>
    <w:p w14:paraId="2BE46CEB" w14:textId="286F880C" w:rsidR="004F6218" w:rsidRDefault="004F6218" w:rsidP="004F6218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Nº 181 / 02</w:t>
      </w:r>
    </w:p>
    <w:p w14:paraId="75332EF0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479C9689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5D47EE98" w14:textId="77777777" w:rsidR="004F6218" w:rsidRDefault="004F6218" w:rsidP="004F6218">
      <w:pPr>
        <w:widowControl w:val="0"/>
        <w:numPr>
          <w:ilvl w:val="0"/>
          <w:numId w:val="12"/>
        </w:numPr>
        <w:tabs>
          <w:tab w:val="left" w:pos="545"/>
        </w:tabs>
        <w:autoSpaceDE w:val="0"/>
        <w:autoSpaceDN w:val="0"/>
        <w:adjustRightInd w:val="0"/>
        <w:spacing w:before="146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1.</w:t>
      </w:r>
      <w:r>
        <w:rPr>
          <w:rFonts w:ascii="Trebuchet MS" w:hAnsi="Trebuchet MS" w:cs="Trebuchet MS"/>
          <w:b/>
          <w:bCs/>
          <w:sz w:val="19"/>
          <w:szCs w:val="19"/>
          <w:lang w:val="es-ES"/>
        </w:rPr>
        <w:tab/>
        <w:t>Importancia de la Educación Técnica Superior No</w:t>
      </w:r>
      <w:r>
        <w:rPr>
          <w:rFonts w:ascii="Trebuchet MS" w:hAnsi="Trebuchet MS" w:cs="Trebuchet MS"/>
          <w:b/>
          <w:bCs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Universitaria.</w:t>
      </w:r>
    </w:p>
    <w:p w14:paraId="2B991B7B" w14:textId="77777777" w:rsidR="004F6218" w:rsidRDefault="004F6218" w:rsidP="004F621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2BC0047E" w14:textId="77777777" w:rsidR="004F6218" w:rsidRDefault="004F6218" w:rsidP="004F6218">
      <w:pPr>
        <w:widowControl w:val="0"/>
        <w:numPr>
          <w:ilvl w:val="1"/>
          <w:numId w:val="13"/>
        </w:numPr>
        <w:tabs>
          <w:tab w:val="left" w:pos="1573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1.1.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El avance de la ciencia y de la tecnología producido en las últimas décadas, ha repercutido fuertemente en el ámbito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socioproductivo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y cultural, generando nuevas formas de organización de las empresas y transformaciones en los procesos productivos y en los regímenes laborales. En este contexto la relación entre la educación y el trabajo ha cobrado un nuevo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significado.</w:t>
      </w:r>
    </w:p>
    <w:p w14:paraId="00792234" w14:textId="77777777" w:rsidR="004F6218" w:rsidRDefault="004F6218" w:rsidP="004F621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221E2DB" w14:textId="77777777" w:rsidR="004F6218" w:rsidRDefault="004F6218" w:rsidP="004F6218">
      <w:pPr>
        <w:widowControl w:val="0"/>
        <w:numPr>
          <w:ilvl w:val="1"/>
          <w:numId w:val="14"/>
        </w:numPr>
        <w:tabs>
          <w:tab w:val="left" w:pos="1573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lang w:val="es-ES"/>
        </w:rPr>
        <w:t>1.2.</w:t>
      </w:r>
      <w:r>
        <w:rPr>
          <w:rFonts w:ascii="Trebuchet MS" w:hAnsi="Trebuchet MS" w:cs="Trebuchet MS"/>
          <w:spacing w:val="-1"/>
          <w:kern w:val="1"/>
          <w:lang w:val="es-ES"/>
        </w:rPr>
        <w:tab/>
      </w:r>
    </w:p>
    <w:p w14:paraId="2908CDB8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1C8C8D6" w14:textId="77777777" w:rsidR="004F6218" w:rsidRDefault="004F6218" w:rsidP="004F6218">
      <w:pPr>
        <w:widowControl w:val="0"/>
        <w:numPr>
          <w:ilvl w:val="1"/>
          <w:numId w:val="15"/>
        </w:numPr>
        <w:tabs>
          <w:tab w:val="left" w:pos="1573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La Ley Federal de Educación Nº 24.195 en su artículo 20 enuncia: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“Los Institutos de Formación Técnica tendrán como objeto el de brindar formación profesional y reconversión</w:t>
      </w:r>
      <w:r>
        <w:rPr>
          <w:rFonts w:ascii="Trebuchet MS" w:hAnsi="Trebuchet MS" w:cs="Trebuchet MS"/>
          <w:i/>
          <w:i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permanente</w:t>
      </w:r>
      <w:r>
        <w:rPr>
          <w:rFonts w:ascii="Trebuchet MS" w:hAnsi="Trebuchet MS" w:cs="Trebuchet MS"/>
          <w:i/>
          <w:i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i/>
          <w:i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i/>
          <w:i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diferentes</w:t>
      </w:r>
      <w:r>
        <w:rPr>
          <w:rFonts w:ascii="Trebuchet MS" w:hAnsi="Trebuchet MS" w:cs="Trebuchet MS"/>
          <w:i/>
          <w:i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áreas</w:t>
      </w:r>
      <w:r>
        <w:rPr>
          <w:rFonts w:ascii="Trebuchet MS" w:hAnsi="Trebuchet MS" w:cs="Trebuchet MS"/>
          <w:i/>
          <w:i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i/>
          <w:i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saber</w:t>
      </w:r>
      <w:r>
        <w:rPr>
          <w:rFonts w:ascii="Trebuchet MS" w:hAnsi="Trebuchet MS" w:cs="Trebuchet MS"/>
          <w:i/>
          <w:i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técnico</w:t>
      </w:r>
      <w:r>
        <w:rPr>
          <w:rFonts w:ascii="Trebuchet MS" w:hAnsi="Trebuchet MS" w:cs="Trebuchet MS"/>
          <w:i/>
          <w:i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i/>
          <w:i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práctico</w:t>
      </w:r>
      <w:r>
        <w:rPr>
          <w:rFonts w:ascii="Trebuchet MS" w:hAnsi="Trebuchet MS" w:cs="Trebuchet MS"/>
          <w:i/>
          <w:i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i/>
          <w:i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acuerdo con los intereses de los alumnos y la actual y potencial estructura ocupacional...”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, y la Ley de Educación Superior Nº 24.501 en su artículo 17 señala: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“Las Instituciones de Educación Superior No Universitaria tienen por funciones básicas: proporcionar formación</w:t>
      </w:r>
      <w:r>
        <w:rPr>
          <w:rFonts w:ascii="Trebuchet MS" w:hAnsi="Trebuchet MS" w:cs="Trebuchet MS"/>
          <w:i/>
          <w:i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superior</w:t>
      </w:r>
      <w:r>
        <w:rPr>
          <w:rFonts w:ascii="Trebuchet MS" w:hAnsi="Trebuchet MS" w:cs="Trebuchet MS"/>
          <w:i/>
          <w:i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i/>
          <w:i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carácter</w:t>
      </w:r>
      <w:r>
        <w:rPr>
          <w:rFonts w:ascii="Trebuchet MS" w:hAnsi="Trebuchet MS" w:cs="Trebuchet MS"/>
          <w:i/>
          <w:i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instrumental</w:t>
      </w:r>
      <w:r>
        <w:rPr>
          <w:rFonts w:ascii="Trebuchet MS" w:hAnsi="Trebuchet MS" w:cs="Trebuchet MS"/>
          <w:i/>
          <w:i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i/>
          <w:i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i/>
          <w:i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áreas</w:t>
      </w:r>
      <w:r>
        <w:rPr>
          <w:rFonts w:ascii="Trebuchet MS" w:hAnsi="Trebuchet MS" w:cs="Trebuchet MS"/>
          <w:i/>
          <w:i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humanísticas,</w:t>
      </w:r>
      <w:r>
        <w:rPr>
          <w:rFonts w:ascii="Trebuchet MS" w:hAnsi="Trebuchet MS" w:cs="Trebuchet MS"/>
          <w:i/>
          <w:i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sociales,</w:t>
      </w:r>
      <w:r>
        <w:rPr>
          <w:rFonts w:ascii="Trebuchet MS" w:hAnsi="Trebuchet MS" w:cs="Trebuchet MS"/>
          <w:i/>
          <w:i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técnico- profesionales y artísticas. Los mismos deberán estar vinculados a la vida cultural y productiva local y</w:t>
      </w:r>
      <w:r>
        <w:rPr>
          <w:rFonts w:ascii="Trebuchet MS" w:hAnsi="Trebuchet MS" w:cs="Trebuchet MS"/>
          <w:i/>
          <w:i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regional”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.</w:t>
      </w:r>
    </w:p>
    <w:p w14:paraId="1ECD8E0A" w14:textId="77777777" w:rsidR="004F6218" w:rsidRDefault="004F6218" w:rsidP="004F621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ECED65F" w14:textId="77777777" w:rsidR="004F6218" w:rsidRDefault="004F6218" w:rsidP="004F6218">
      <w:pPr>
        <w:widowControl w:val="0"/>
        <w:numPr>
          <w:ilvl w:val="1"/>
          <w:numId w:val="16"/>
        </w:numPr>
        <w:tabs>
          <w:tab w:val="left" w:pos="1573"/>
        </w:tabs>
        <w:autoSpaceDE w:val="0"/>
        <w:autoSpaceDN w:val="0"/>
        <w:adjustRightInd w:val="0"/>
        <w:spacing w:before="1"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1.3.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consideración de los fundamentos para la creación, desarrollo e implementación de carreras técnicas de nivel superior no universitario, ha de manifestar compromiso con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intereses de la comunidad, vinculación con las demandas de los sectores productivos y del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mundo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laboral,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sentido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ciencia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tecnología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logro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mejor calidad de vida de los destinatarios y el desarrollo social</w:t>
      </w:r>
      <w:r>
        <w:rPr>
          <w:rFonts w:ascii="Trebuchet MS" w:hAnsi="Trebuchet MS" w:cs="Trebuchet MS"/>
          <w:spacing w:val="-2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sustentable.</w:t>
      </w:r>
    </w:p>
    <w:p w14:paraId="7002D1F3" w14:textId="77777777" w:rsidR="004F6218" w:rsidRDefault="004F6218" w:rsidP="004F621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73D5682" w14:textId="77777777" w:rsidR="004F6218" w:rsidRDefault="004F6218" w:rsidP="004F6218">
      <w:pPr>
        <w:widowControl w:val="0"/>
        <w:numPr>
          <w:ilvl w:val="1"/>
          <w:numId w:val="17"/>
        </w:numPr>
        <w:tabs>
          <w:tab w:val="left" w:pos="1573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1.4.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marco sociocultural otorgará identidad a la propuesta pedagógica. Los ámbitos productivo y del trabajo han de orientar los contenidos de las tecnicaturas de nivel superior no universitario y de sus títulos intermedios, cuyos diseños abiertos y flexibles, facilitan la inserción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laboral.</w:t>
      </w:r>
    </w:p>
    <w:p w14:paraId="472C7D30" w14:textId="77777777" w:rsidR="004F6218" w:rsidRDefault="004F6218" w:rsidP="004F621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0CB6A9D" w14:textId="77777777" w:rsidR="004F6218" w:rsidRDefault="004F6218" w:rsidP="004F6218">
      <w:pPr>
        <w:widowControl w:val="0"/>
        <w:numPr>
          <w:ilvl w:val="1"/>
          <w:numId w:val="18"/>
        </w:numPr>
        <w:tabs>
          <w:tab w:val="left" w:pos="545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2.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ab/>
        <w:t>Criterios</w:t>
      </w:r>
      <w:r>
        <w:rPr>
          <w:rFonts w:ascii="Trebuchet MS" w:hAnsi="Trebuchet MS" w:cs="Trebuchet MS"/>
          <w:b/>
          <w:b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generales.</w:t>
      </w:r>
    </w:p>
    <w:p w14:paraId="66C5CA25" w14:textId="77777777" w:rsidR="004F6218" w:rsidRDefault="004F6218" w:rsidP="004F621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CE8E7B9" w14:textId="77777777" w:rsidR="004F6218" w:rsidRDefault="004F6218" w:rsidP="004F6218">
      <w:pPr>
        <w:widowControl w:val="0"/>
        <w:numPr>
          <w:ilvl w:val="1"/>
          <w:numId w:val="19"/>
        </w:numPr>
        <w:tabs>
          <w:tab w:val="left" w:pos="1573"/>
        </w:tabs>
        <w:autoSpaceDE w:val="0"/>
        <w:autoSpaceDN w:val="0"/>
        <w:adjustRightInd w:val="0"/>
        <w:spacing w:before="1"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2.1.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Se considerarán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Tecnicaturas Superiores No Universitarias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 todas aquellas carreras de nivel de calificación 4 según el Acuerdo Marco Serie E 3, que comprenden diferentes áreas tales como las técnico-profesionales, sociales, de administración y gestión, de servicios,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agroindustriales,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salud,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artes,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entre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otras,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están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relación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con las necesidades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socioproductivas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y culturales, y que se orientan a la formación de recursos humanos específicamente dirigidos al sistema social, económico y/o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productivo, excepto los destinados al sistema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educativo.</w:t>
      </w:r>
    </w:p>
    <w:p w14:paraId="1E0E8ED5" w14:textId="77777777" w:rsidR="004F6218" w:rsidRDefault="004F6218" w:rsidP="004F621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F8A4710" w14:textId="77777777" w:rsidR="004F6218" w:rsidRDefault="004F6218" w:rsidP="004F6218">
      <w:pPr>
        <w:widowControl w:val="0"/>
        <w:numPr>
          <w:ilvl w:val="1"/>
          <w:numId w:val="20"/>
        </w:numPr>
        <w:tabs>
          <w:tab w:val="left" w:pos="1573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2.2.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La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estructura curricular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comprenderá:</w:t>
      </w:r>
    </w:p>
    <w:p w14:paraId="66D507CD" w14:textId="77777777" w:rsidR="004F6218" w:rsidRDefault="004F6218" w:rsidP="004F621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5993F42" w14:textId="77777777" w:rsidR="004F6218" w:rsidRDefault="004F6218" w:rsidP="004F6218">
      <w:pPr>
        <w:widowControl w:val="0"/>
        <w:numPr>
          <w:ilvl w:val="2"/>
          <w:numId w:val="21"/>
        </w:numPr>
        <w:tabs>
          <w:tab w:val="left" w:pos="1865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 de formación 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fundamento.</w:t>
      </w:r>
    </w:p>
    <w:p w14:paraId="331C7D27" w14:textId="77777777" w:rsidR="004F6218" w:rsidRDefault="004F6218" w:rsidP="004F6218">
      <w:pPr>
        <w:widowControl w:val="0"/>
        <w:numPr>
          <w:ilvl w:val="2"/>
          <w:numId w:val="21"/>
        </w:numPr>
        <w:tabs>
          <w:tab w:val="left" w:pos="1865"/>
        </w:tabs>
        <w:autoSpaceDE w:val="0"/>
        <w:autoSpaceDN w:val="0"/>
        <w:adjustRightInd w:val="0"/>
        <w:spacing w:after="0" w:line="231" w:lineRule="exact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 de formación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específica.</w:t>
      </w:r>
    </w:p>
    <w:p w14:paraId="66FA0128" w14:textId="77777777" w:rsidR="004F6218" w:rsidRDefault="004F6218" w:rsidP="004F6218">
      <w:pPr>
        <w:widowControl w:val="0"/>
        <w:numPr>
          <w:ilvl w:val="2"/>
          <w:numId w:val="21"/>
        </w:numPr>
        <w:tabs>
          <w:tab w:val="left" w:pos="1865"/>
        </w:tabs>
        <w:autoSpaceDE w:val="0"/>
        <w:autoSpaceDN w:val="0"/>
        <w:adjustRightInd w:val="0"/>
        <w:spacing w:after="0" w:line="231" w:lineRule="exact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 de definición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institucional.</w:t>
      </w:r>
    </w:p>
    <w:p w14:paraId="200B3A05" w14:textId="77777777" w:rsidR="004F6218" w:rsidRDefault="004F6218" w:rsidP="004F6218">
      <w:pPr>
        <w:widowControl w:val="0"/>
        <w:numPr>
          <w:ilvl w:val="2"/>
          <w:numId w:val="21"/>
        </w:numPr>
        <w:tabs>
          <w:tab w:val="left" w:pos="1865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 de la práctica técnico –</w:t>
      </w:r>
      <w:r>
        <w:rPr>
          <w:rFonts w:ascii="Trebuchet MS" w:hAnsi="Trebuchet MS" w:cs="Trebuchet MS"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profesional.</w:t>
      </w:r>
    </w:p>
    <w:p w14:paraId="69BD872A" w14:textId="77777777" w:rsidR="004F6218" w:rsidRDefault="004F6218" w:rsidP="004F6218">
      <w:pPr>
        <w:widowControl w:val="0"/>
        <w:numPr>
          <w:ilvl w:val="2"/>
          <w:numId w:val="21"/>
        </w:numPr>
        <w:tabs>
          <w:tab w:val="left" w:pos="1865"/>
        </w:tabs>
        <w:autoSpaceDE w:val="0"/>
        <w:autoSpaceDN w:val="0"/>
        <w:adjustRightInd w:val="0"/>
        <w:spacing w:before="89"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Formación Ética y Social a las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áreas.</w:t>
      </w:r>
    </w:p>
    <w:p w14:paraId="26F73CB0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5DFEB06" w14:textId="77777777" w:rsidR="004F6218" w:rsidRDefault="004F6218" w:rsidP="004F6218">
      <w:pPr>
        <w:widowControl w:val="0"/>
        <w:numPr>
          <w:ilvl w:val="1"/>
          <w:numId w:val="22"/>
        </w:numPr>
        <w:tabs>
          <w:tab w:val="left" w:pos="1573"/>
        </w:tabs>
        <w:autoSpaceDE w:val="0"/>
        <w:autoSpaceDN w:val="0"/>
        <w:adjustRightInd w:val="0"/>
        <w:spacing w:before="181"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lastRenderedPageBreak/>
        <w:t>2.3.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áreas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operarán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matriz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organizarán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adquisición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aquellos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saberes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conocimientos que se definen para cada</w:t>
      </w:r>
      <w:r>
        <w:rPr>
          <w:rFonts w:ascii="Trebuchet MS" w:hAnsi="Trebuchet MS" w:cs="Trebuchet MS"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carrera.</w:t>
      </w:r>
    </w:p>
    <w:p w14:paraId="2A484323" w14:textId="77777777" w:rsidR="004F6218" w:rsidRDefault="004F6218" w:rsidP="004F621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144563B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Dentro de los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espacios curriculares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estas áreas se abordarán conjuntos de saberes articulados e interrelacionados en los cuales se trabaje la Formación Ética y Social, en forma transversal o como espacio curricular, según cada carrera específica.</w:t>
      </w:r>
    </w:p>
    <w:p w14:paraId="25ACD7F9" w14:textId="77777777" w:rsidR="004F6218" w:rsidRDefault="004F6218" w:rsidP="004F621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2E62A52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Área de la práctica técnico-profesional se desarrollará desde el comienzo de la formación y abarcará la totalidad de la misma.</w:t>
      </w:r>
    </w:p>
    <w:p w14:paraId="02F274D8" w14:textId="77777777" w:rsidR="004F6218" w:rsidRDefault="004F6218" w:rsidP="004F621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A79290F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Los procesos de enseñanza y aprendizaje de los espacios curriculares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vincularán íntimamente teoría y práctica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, y establecerán un equilibrio apropiado al relacionar el saber hacer con el saber pensar y el saber ser, integrados de acuerdo al área de formación.</w:t>
      </w:r>
    </w:p>
    <w:p w14:paraId="0528ECD6" w14:textId="77777777" w:rsidR="004F6218" w:rsidRDefault="004F6218" w:rsidP="004F621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E1283B2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Los espacios curriculares de las áreas se podrán plasmar a través de talleres, laboratorios,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gabinetes,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seminarios,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pasantías,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entre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otros,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acuerdo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diseños curriculares jurisdiccionales y los proyectos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institucionales.</w:t>
      </w:r>
    </w:p>
    <w:p w14:paraId="7752EEBF" w14:textId="77777777" w:rsidR="004F6218" w:rsidRDefault="004F6218" w:rsidP="004F621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39E003C" w14:textId="77777777" w:rsidR="004F6218" w:rsidRDefault="004F6218" w:rsidP="004F6218">
      <w:pPr>
        <w:widowControl w:val="0"/>
        <w:numPr>
          <w:ilvl w:val="1"/>
          <w:numId w:val="23"/>
        </w:numPr>
        <w:tabs>
          <w:tab w:val="left" w:pos="545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3.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ab/>
        <w:t>Pautas de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organización.</w:t>
      </w:r>
    </w:p>
    <w:p w14:paraId="1F7BD88A" w14:textId="77777777" w:rsidR="004F6218" w:rsidRDefault="004F6218" w:rsidP="004F621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D2ED855" w14:textId="77777777" w:rsidR="004F6218" w:rsidRDefault="004F6218" w:rsidP="004F6218">
      <w:pPr>
        <w:widowControl w:val="0"/>
        <w:numPr>
          <w:ilvl w:val="1"/>
          <w:numId w:val="24"/>
        </w:numPr>
        <w:tabs>
          <w:tab w:val="left" w:pos="1573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lang w:val="es-ES"/>
        </w:rPr>
        <w:t>3.1.</w:t>
      </w:r>
      <w:r>
        <w:rPr>
          <w:rFonts w:ascii="Trebuchet MS" w:hAnsi="Trebuchet MS" w:cs="Trebuchet MS"/>
          <w:spacing w:val="-1"/>
          <w:kern w:val="1"/>
          <w:lang w:val="es-ES"/>
        </w:rPr>
        <w:tab/>
      </w:r>
    </w:p>
    <w:p w14:paraId="392E298B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AFC8C4B" w14:textId="77777777" w:rsidR="004F6218" w:rsidRDefault="004F6218" w:rsidP="004F6218">
      <w:pPr>
        <w:widowControl w:val="0"/>
        <w:numPr>
          <w:ilvl w:val="1"/>
          <w:numId w:val="25"/>
        </w:numPr>
        <w:tabs>
          <w:tab w:val="left" w:pos="1573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Los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diseños curriculares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de estas tecnicaturas deberán atender las regulaciones de los distintos ejercicios profesionales y sus incumbencias vigentes, reconociendo que muchas de ellas deberán ser actualizadas en función de las transformaciones producidas en el campo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socioproductivo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y cultural a través de la participación de los foros sectoriales con representación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tripartita,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sector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empresario,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sector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Estado,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entre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otras estrategias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posibles.</w:t>
      </w:r>
    </w:p>
    <w:p w14:paraId="059EE813" w14:textId="77777777" w:rsidR="004F6218" w:rsidRDefault="004F6218" w:rsidP="004F621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C39D7AD" w14:textId="77777777" w:rsidR="004F6218" w:rsidRDefault="004F6218" w:rsidP="004F6218">
      <w:pPr>
        <w:widowControl w:val="0"/>
        <w:numPr>
          <w:ilvl w:val="1"/>
          <w:numId w:val="26"/>
        </w:numPr>
        <w:tabs>
          <w:tab w:val="left" w:pos="1573"/>
        </w:tabs>
        <w:autoSpaceDE w:val="0"/>
        <w:autoSpaceDN w:val="0"/>
        <w:adjustRightInd w:val="0"/>
        <w:spacing w:before="1"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3.2.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Las carreras que cumplan con los requisitos establecidos, otorgarán un título final,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articulable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con post-títulos y con estudios superiores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universitarios.</w:t>
      </w:r>
    </w:p>
    <w:p w14:paraId="1213D939" w14:textId="77777777" w:rsidR="004F6218" w:rsidRDefault="004F6218" w:rsidP="004F621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E811D3A" w14:textId="77777777" w:rsidR="004F6218" w:rsidRDefault="004F6218" w:rsidP="004F6218">
      <w:pPr>
        <w:widowControl w:val="0"/>
        <w:numPr>
          <w:ilvl w:val="1"/>
          <w:numId w:val="27"/>
        </w:numPr>
        <w:tabs>
          <w:tab w:val="left" w:pos="1573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3.3.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Las carreras podrán ofrecer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títulos intermedios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siempre que sus incumbencias y/o perfiles profesionales sean claramente diferentes a las del título</w:t>
      </w:r>
      <w:r>
        <w:rPr>
          <w:rFonts w:ascii="Trebuchet MS" w:hAnsi="Trebuchet MS" w:cs="Trebuchet MS"/>
          <w:spacing w:val="-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final.</w:t>
      </w:r>
    </w:p>
    <w:p w14:paraId="5A4AF26A" w14:textId="77777777" w:rsidR="004F6218" w:rsidRDefault="004F6218" w:rsidP="004F621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842BD21" w14:textId="77777777" w:rsidR="004F6218" w:rsidRDefault="004F6218" w:rsidP="004F6218">
      <w:pPr>
        <w:widowControl w:val="0"/>
        <w:numPr>
          <w:ilvl w:val="1"/>
          <w:numId w:val="28"/>
        </w:numPr>
        <w:tabs>
          <w:tab w:val="left" w:pos="1573"/>
        </w:tabs>
        <w:autoSpaceDE w:val="0"/>
        <w:autoSpaceDN w:val="0"/>
        <w:adjustRightInd w:val="0"/>
        <w:spacing w:before="1"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3.4.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El conjunto de la formación involucrará una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carga horaria mínima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1.600 horas reloj, organizada en espacios curriculares de diferente complejidad y</w:t>
      </w:r>
      <w:r>
        <w:rPr>
          <w:rFonts w:ascii="Trebuchet MS" w:hAnsi="Trebuchet MS" w:cs="Trebuchet MS"/>
          <w:spacing w:val="-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duración.</w:t>
      </w:r>
    </w:p>
    <w:p w14:paraId="035E4EB1" w14:textId="77777777" w:rsidR="004F6218" w:rsidRDefault="004F6218" w:rsidP="004F621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3FD9C83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porcentaje mínimo asignado a las distintas Áreas se distribuirá de la siguiente manera:</w:t>
      </w:r>
    </w:p>
    <w:p w14:paraId="436A40FB" w14:textId="77777777" w:rsidR="004F6218" w:rsidRDefault="004F6218" w:rsidP="004F621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E4BAC88" w14:textId="77777777" w:rsidR="004F6218" w:rsidRDefault="004F6218" w:rsidP="004F6218">
      <w:pPr>
        <w:widowControl w:val="0"/>
        <w:numPr>
          <w:ilvl w:val="2"/>
          <w:numId w:val="29"/>
        </w:numPr>
        <w:tabs>
          <w:tab w:val="left" w:pos="2531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 de formación de fundamento: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10%</w:t>
      </w:r>
    </w:p>
    <w:p w14:paraId="1826C4F6" w14:textId="77777777" w:rsidR="004F6218" w:rsidRDefault="004F6218" w:rsidP="004F6218">
      <w:pPr>
        <w:widowControl w:val="0"/>
        <w:numPr>
          <w:ilvl w:val="2"/>
          <w:numId w:val="29"/>
        </w:numPr>
        <w:tabs>
          <w:tab w:val="left" w:pos="2531"/>
        </w:tabs>
        <w:autoSpaceDE w:val="0"/>
        <w:autoSpaceDN w:val="0"/>
        <w:adjustRightInd w:val="0"/>
        <w:spacing w:after="0" w:line="231" w:lineRule="exact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 de formación específica: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45%</w:t>
      </w:r>
    </w:p>
    <w:p w14:paraId="225EC5E5" w14:textId="77777777" w:rsidR="004F6218" w:rsidRDefault="004F6218" w:rsidP="004F6218">
      <w:pPr>
        <w:widowControl w:val="0"/>
        <w:numPr>
          <w:ilvl w:val="2"/>
          <w:numId w:val="29"/>
        </w:numPr>
        <w:tabs>
          <w:tab w:val="left" w:pos="2531"/>
        </w:tabs>
        <w:autoSpaceDE w:val="0"/>
        <w:autoSpaceDN w:val="0"/>
        <w:adjustRightInd w:val="0"/>
        <w:spacing w:after="0" w:line="231" w:lineRule="exact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 de definición institucional: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5%</w:t>
      </w:r>
    </w:p>
    <w:p w14:paraId="28DAA255" w14:textId="77777777" w:rsidR="004F6218" w:rsidRDefault="004F6218" w:rsidP="004F6218">
      <w:pPr>
        <w:widowControl w:val="0"/>
        <w:numPr>
          <w:ilvl w:val="2"/>
          <w:numId w:val="29"/>
        </w:numPr>
        <w:tabs>
          <w:tab w:val="left" w:pos="2531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 de práctica técnico profesional: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10%</w:t>
      </w:r>
    </w:p>
    <w:p w14:paraId="66925CEF" w14:textId="77777777" w:rsidR="004F6218" w:rsidRDefault="004F6218" w:rsidP="004F621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80436A9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porcentaje restante para completar la carga horaria mínima obligatoria, se distribuirá conforme a las peculiaridades de cada especialidad.</w:t>
      </w:r>
    </w:p>
    <w:p w14:paraId="74B1B234" w14:textId="77777777" w:rsidR="004F6218" w:rsidRDefault="004F6218" w:rsidP="004F621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00E79A9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La forma de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organización curricular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 adecuará a cada carrera, admitiendo diferencias en la intensidad u otras variables que la misma justifique, siempre que se garantice el cumplimiento de las cargas horarias previstas.</w:t>
      </w:r>
    </w:p>
    <w:p w14:paraId="265E4381" w14:textId="77777777" w:rsidR="004F6218" w:rsidRDefault="004F6218" w:rsidP="004F621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950700D" w14:textId="77777777" w:rsidR="004F6218" w:rsidRDefault="004F6218" w:rsidP="004F6218">
      <w:pPr>
        <w:widowControl w:val="0"/>
        <w:numPr>
          <w:ilvl w:val="1"/>
          <w:numId w:val="30"/>
        </w:numPr>
        <w:tabs>
          <w:tab w:val="left" w:pos="1573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3.5.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conjunto de la formación para los títulos intermedios involucrará espacios curriculares de todas las áreas de formación, asegurando un mínimo de 50% de la carga horaria total definida para cada una de ellas en el título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final.</w:t>
      </w:r>
    </w:p>
    <w:p w14:paraId="6DE7616F" w14:textId="77777777" w:rsidR="004F6218" w:rsidRDefault="004F6218" w:rsidP="004F6218">
      <w:pPr>
        <w:widowControl w:val="0"/>
        <w:numPr>
          <w:ilvl w:val="1"/>
          <w:numId w:val="30"/>
        </w:numPr>
        <w:tabs>
          <w:tab w:val="left" w:pos="1573"/>
        </w:tabs>
        <w:autoSpaceDE w:val="0"/>
        <w:autoSpaceDN w:val="0"/>
        <w:adjustRightInd w:val="0"/>
        <w:spacing w:before="90" w:after="0" w:line="237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lang w:val="es-ES"/>
        </w:rPr>
        <w:t>3.6.</w:t>
      </w:r>
      <w:r>
        <w:rPr>
          <w:rFonts w:ascii="Trebuchet MS" w:hAnsi="Trebuchet MS" w:cs="Trebuchet MS"/>
          <w:spacing w:val="-1"/>
          <w:kern w:val="1"/>
          <w:lang w:val="es-ES"/>
        </w:rPr>
        <w:tab/>
      </w:r>
    </w:p>
    <w:p w14:paraId="6091E0CC" w14:textId="77777777" w:rsidR="004F6218" w:rsidRDefault="004F6218" w:rsidP="004F621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769ED84" w14:textId="77777777" w:rsidR="004F6218" w:rsidRDefault="004F6218" w:rsidP="004F6218">
      <w:pPr>
        <w:widowControl w:val="0"/>
        <w:numPr>
          <w:ilvl w:val="1"/>
          <w:numId w:val="31"/>
        </w:numPr>
        <w:tabs>
          <w:tab w:val="left" w:pos="1573"/>
        </w:tabs>
        <w:autoSpaceDE w:val="0"/>
        <w:autoSpaceDN w:val="0"/>
        <w:adjustRightInd w:val="0"/>
        <w:spacing w:before="90"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En el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área de práctica técnico-profesional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se tendrá a organizar espacios de formación en ambientes de trabajo, centrados en el desarrollo de experiencias formativas sistemáticas en entornos productivos y/o de servicios. Estos espacios permitirán aplicar las capacidades desarrolladas en otras áreas a la resolución de problemas planteados en situaciones reales de trabajo. Podrán organizarse de modo independiente o articularse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con uno o más espacios curriculares de la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tecnicatura.</w:t>
      </w:r>
    </w:p>
    <w:p w14:paraId="15C9C104" w14:textId="77777777" w:rsidR="004F6218" w:rsidRDefault="004F6218" w:rsidP="004F621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7FE64AE" w14:textId="77777777" w:rsidR="004F6218" w:rsidRDefault="004F6218" w:rsidP="004F6218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Su desarrollo supone la vinculación con empresas productivas o de servicios, organismos gubernamentales,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gubernamentales,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y/o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cuyas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permitan experiencias de formación significativas para los estudiantes. Con el fin de fomentar la relación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entorno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productivo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aproximarse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mejor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contextos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 podrán complementar con la organización de proyectos o actividades de simulación que presenten características análogas a las de los ambientes de trabajo</w:t>
      </w:r>
      <w:r>
        <w:rPr>
          <w:rFonts w:ascii="Trebuchet MS" w:hAnsi="Trebuchet MS" w:cs="Trebuchet MS"/>
          <w:spacing w:val="-3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reales.</w:t>
      </w:r>
    </w:p>
    <w:p w14:paraId="6CDB0543" w14:textId="39F7095A" w:rsidR="00592F1B" w:rsidRPr="00AC3BA6" w:rsidRDefault="00592F1B" w:rsidP="004F6218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000002B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0000032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00000387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000003E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000004B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</w:lvl>
    <w:lvl w:ilvl="1" w:tplc="000005D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0000064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000006A6">
      <w:start w:val="1"/>
      <w:numFmt w:val="decimal"/>
      <w:lvlText w:val="%2."/>
      <w:lvlJc w:val="left"/>
      <w:pPr>
        <w:ind w:left="1440" w:hanging="360"/>
      </w:pPr>
    </w:lvl>
    <w:lvl w:ilvl="2" w:tplc="000006A7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</w:lvl>
    <w:lvl w:ilvl="1" w:tplc="0000070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decimal"/>
      <w:lvlText w:val="%1."/>
      <w:lvlJc w:val="left"/>
      <w:pPr>
        <w:ind w:left="720" w:hanging="360"/>
      </w:pPr>
    </w:lvl>
    <w:lvl w:ilvl="1" w:tplc="0000076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6"/>
  </w:num>
  <w:num w:numId="3">
    <w:abstractNumId w:val="23"/>
  </w:num>
  <w:num w:numId="4">
    <w:abstractNumId w:val="24"/>
  </w:num>
  <w:num w:numId="5">
    <w:abstractNumId w:val="20"/>
  </w:num>
  <w:num w:numId="6">
    <w:abstractNumId w:val="21"/>
  </w:num>
  <w:num w:numId="7">
    <w:abstractNumId w:val="21"/>
    <w:lvlOverride w:ilvl="1">
      <w:startOverride w:val="1"/>
    </w:lvlOverride>
  </w:num>
  <w:num w:numId="8">
    <w:abstractNumId w:val="21"/>
    <w:lvlOverride w:ilvl="1">
      <w:startOverride w:val="5"/>
    </w:lvlOverride>
  </w:num>
  <w:num w:numId="9">
    <w:abstractNumId w:val="21"/>
    <w:lvlOverride w:ilvl="1">
      <w:startOverride w:val="5"/>
    </w:lvlOverride>
  </w:num>
  <w:num w:numId="10">
    <w:abstractNumId w:val="25"/>
  </w:num>
  <w:num w:numId="11">
    <w:abstractNumId w:val="22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F6218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5703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2021-05-18T15:13:00Z</dcterms:created>
  <dcterms:modified xsi:type="dcterms:W3CDTF">2021-05-18T15:13:00Z</dcterms:modified>
</cp:coreProperties>
</file>