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45B1A" w14:textId="77777777" w:rsidR="00546A4A" w:rsidRDefault="00546A4A" w:rsidP="00546A4A">
      <w:pPr>
        <w:widowControl w:val="0"/>
        <w:autoSpaceDE w:val="0"/>
        <w:autoSpaceDN w:val="0"/>
        <w:adjustRightInd w:val="0"/>
        <w:spacing w:after="0" w:line="240" w:lineRule="auto"/>
        <w:ind w:right="-1"/>
        <w:rPr>
          <w:rFonts w:ascii="Times New Roman" w:hAnsi="Times New Roman" w:cs="Times New Roman"/>
          <w:sz w:val="20"/>
          <w:szCs w:val="20"/>
          <w:lang w:val="es-ES"/>
        </w:rPr>
      </w:pPr>
    </w:p>
    <w:p w14:paraId="54C1F55D" w14:textId="77777777" w:rsidR="00546A4A" w:rsidRDefault="00546A4A" w:rsidP="00546A4A">
      <w:pPr>
        <w:widowControl w:val="0"/>
        <w:autoSpaceDE w:val="0"/>
        <w:autoSpaceDN w:val="0"/>
        <w:adjustRightInd w:val="0"/>
        <w:spacing w:before="4" w:after="0" w:line="240" w:lineRule="auto"/>
        <w:ind w:right="-1"/>
        <w:rPr>
          <w:rFonts w:ascii="Times New Roman" w:hAnsi="Times New Roman" w:cs="Times New Roman"/>
          <w:sz w:val="28"/>
          <w:szCs w:val="28"/>
          <w:lang w:val="es-ES"/>
        </w:rPr>
      </w:pPr>
      <w:bookmarkStart w:id="0" w:name="_GoBack"/>
      <w:bookmarkEnd w:id="0"/>
    </w:p>
    <w:p w14:paraId="2FEEC2E8" w14:textId="77777777" w:rsidR="00546A4A" w:rsidRDefault="00546A4A" w:rsidP="00546A4A">
      <w:pPr>
        <w:widowControl w:val="0"/>
        <w:autoSpaceDE w:val="0"/>
        <w:autoSpaceDN w:val="0"/>
        <w:adjustRightInd w:val="0"/>
        <w:spacing w:before="101" w:after="0" w:line="237"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REGLAMENTACIÓN DE LA APLICACIÓN DE LA LEY Nº 400 (MOROSIDAD)</w:t>
      </w:r>
    </w:p>
    <w:p w14:paraId="75B81B1D" w14:textId="77777777" w:rsidR="00546A4A" w:rsidRDefault="00546A4A" w:rsidP="00546A4A">
      <w:pPr>
        <w:widowControl w:val="0"/>
        <w:autoSpaceDE w:val="0"/>
        <w:autoSpaceDN w:val="0"/>
        <w:adjustRightInd w:val="0"/>
        <w:spacing w:before="7" w:after="0" w:line="240" w:lineRule="auto"/>
        <w:ind w:right="-1"/>
        <w:rPr>
          <w:rFonts w:ascii="Times New Roman" w:hAnsi="Times New Roman" w:cs="Times New Roman"/>
          <w:b/>
          <w:bCs/>
          <w:sz w:val="18"/>
          <w:szCs w:val="18"/>
          <w:lang w:val="es-ES"/>
        </w:rPr>
      </w:pPr>
    </w:p>
    <w:p w14:paraId="1052F5CB" w14:textId="77777777" w:rsidR="00546A4A" w:rsidRDefault="00546A4A" w:rsidP="00546A4A">
      <w:pPr>
        <w:widowControl w:val="0"/>
        <w:autoSpaceDE w:val="0"/>
        <w:autoSpaceDN w:val="0"/>
        <w:adjustRightInd w:val="0"/>
        <w:spacing w:before="1"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GOBIERNO DE LA CIUDAD DE BUENOS AIRES </w:t>
      </w:r>
    </w:p>
    <w:p w14:paraId="32F529C3" w14:textId="59AC2491" w:rsidR="00546A4A" w:rsidRDefault="00546A4A" w:rsidP="00546A4A">
      <w:pPr>
        <w:widowControl w:val="0"/>
        <w:autoSpaceDE w:val="0"/>
        <w:autoSpaceDN w:val="0"/>
        <w:adjustRightInd w:val="0"/>
        <w:spacing w:before="1"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RESOLUCION Nº 1824 / 2000</w:t>
      </w:r>
    </w:p>
    <w:p w14:paraId="024FEBFF" w14:textId="77777777" w:rsidR="00546A4A" w:rsidRDefault="00546A4A" w:rsidP="00546A4A">
      <w:pPr>
        <w:widowControl w:val="0"/>
        <w:autoSpaceDE w:val="0"/>
        <w:autoSpaceDN w:val="0"/>
        <w:adjustRightInd w:val="0"/>
        <w:spacing w:before="4" w:after="0" w:line="240" w:lineRule="auto"/>
        <w:ind w:right="-1"/>
        <w:rPr>
          <w:rFonts w:ascii="Times New Roman" w:hAnsi="Times New Roman" w:cs="Times New Roman"/>
          <w:b/>
          <w:bCs/>
          <w:sz w:val="10"/>
          <w:szCs w:val="10"/>
          <w:lang w:val="es-ES"/>
        </w:rPr>
      </w:pPr>
    </w:p>
    <w:p w14:paraId="4F1D340F" w14:textId="77777777" w:rsidR="00546A4A" w:rsidRDefault="00546A4A" w:rsidP="00546A4A">
      <w:pPr>
        <w:widowControl w:val="0"/>
        <w:autoSpaceDE w:val="0"/>
        <w:autoSpaceDN w:val="0"/>
        <w:adjustRightInd w:val="0"/>
        <w:spacing w:before="99" w:after="0" w:line="220" w:lineRule="exact"/>
        <w:ind w:right="-1"/>
        <w:jc w:val="right"/>
        <w:rPr>
          <w:rFonts w:ascii="Trebuchet MS" w:hAnsi="Trebuchet MS" w:cs="Trebuchet MS"/>
          <w:sz w:val="19"/>
          <w:szCs w:val="19"/>
          <w:lang w:val="es-ES"/>
        </w:rPr>
      </w:pPr>
      <w:r>
        <w:rPr>
          <w:rFonts w:ascii="Trebuchet MS" w:hAnsi="Trebuchet MS" w:cs="Trebuchet MS"/>
          <w:sz w:val="19"/>
          <w:szCs w:val="19"/>
          <w:lang w:val="es-ES"/>
        </w:rPr>
        <w:t>Buenos Aires 27 de noviembre de 2000.</w:t>
      </w:r>
    </w:p>
    <w:p w14:paraId="3C03B4E1" w14:textId="77777777" w:rsidR="00546A4A" w:rsidRDefault="00546A4A" w:rsidP="00546A4A">
      <w:pPr>
        <w:widowControl w:val="0"/>
        <w:autoSpaceDE w:val="0"/>
        <w:autoSpaceDN w:val="0"/>
        <w:adjustRightInd w:val="0"/>
        <w:spacing w:after="0" w:line="220" w:lineRule="exact"/>
        <w:ind w:right="-1"/>
        <w:rPr>
          <w:rFonts w:ascii="Trebuchet MS" w:hAnsi="Trebuchet MS" w:cs="Trebuchet MS"/>
          <w:sz w:val="19"/>
          <w:szCs w:val="19"/>
          <w:lang w:val="es-ES"/>
        </w:rPr>
      </w:pPr>
    </w:p>
    <w:p w14:paraId="753EEC49" w14:textId="77777777" w:rsidR="00546A4A" w:rsidRDefault="00546A4A" w:rsidP="00546A4A">
      <w:pPr>
        <w:widowControl w:val="0"/>
        <w:autoSpaceDE w:val="0"/>
        <w:autoSpaceDN w:val="0"/>
        <w:adjustRightInd w:val="0"/>
        <w:spacing w:after="0" w:line="220" w:lineRule="exact"/>
        <w:ind w:right="-1"/>
        <w:rPr>
          <w:rFonts w:ascii="Trebuchet MS" w:hAnsi="Trebuchet MS" w:cs="Trebuchet MS"/>
          <w:sz w:val="19"/>
          <w:szCs w:val="19"/>
          <w:lang w:val="es-ES"/>
        </w:rPr>
      </w:pPr>
      <w:r w:rsidRPr="00546A4A">
        <w:rPr>
          <w:rFonts w:ascii="Trebuchet MS" w:hAnsi="Trebuchet MS" w:cs="Trebuchet MS"/>
          <w:b/>
          <w:sz w:val="19"/>
          <w:szCs w:val="19"/>
          <w:lang w:val="es-ES"/>
        </w:rPr>
        <w:t>Visto</w:t>
      </w:r>
      <w:r>
        <w:rPr>
          <w:rFonts w:ascii="Trebuchet MS" w:hAnsi="Trebuchet MS" w:cs="Trebuchet MS"/>
          <w:sz w:val="19"/>
          <w:szCs w:val="19"/>
          <w:lang w:val="es-ES"/>
        </w:rPr>
        <w:t xml:space="preserve"> </w:t>
      </w:r>
    </w:p>
    <w:p w14:paraId="12E257CA" w14:textId="77777777" w:rsidR="00546A4A" w:rsidRDefault="00546A4A" w:rsidP="00546A4A">
      <w:pPr>
        <w:widowControl w:val="0"/>
        <w:autoSpaceDE w:val="0"/>
        <w:autoSpaceDN w:val="0"/>
        <w:adjustRightInd w:val="0"/>
        <w:spacing w:after="0" w:line="220" w:lineRule="exact"/>
        <w:ind w:right="-1"/>
        <w:rPr>
          <w:rFonts w:ascii="Trebuchet MS" w:hAnsi="Trebuchet MS" w:cs="Trebuchet MS"/>
          <w:sz w:val="19"/>
          <w:szCs w:val="19"/>
          <w:lang w:val="es-ES"/>
        </w:rPr>
      </w:pPr>
    </w:p>
    <w:p w14:paraId="2E62F38D" w14:textId="09FB907A" w:rsidR="00546A4A" w:rsidRDefault="00546A4A" w:rsidP="00546A4A">
      <w:pPr>
        <w:widowControl w:val="0"/>
        <w:autoSpaceDE w:val="0"/>
        <w:autoSpaceDN w:val="0"/>
        <w:adjustRightInd w:val="0"/>
        <w:spacing w:after="0" w:line="220" w:lineRule="exact"/>
        <w:ind w:right="-1"/>
        <w:rPr>
          <w:rFonts w:ascii="Trebuchet MS" w:hAnsi="Trebuchet MS" w:cs="Trebuchet MS"/>
          <w:sz w:val="19"/>
          <w:szCs w:val="19"/>
          <w:lang w:val="es-ES"/>
        </w:rPr>
      </w:pPr>
      <w:r>
        <w:rPr>
          <w:rFonts w:ascii="Trebuchet MS" w:hAnsi="Trebuchet MS" w:cs="Trebuchet MS"/>
          <w:sz w:val="19"/>
          <w:szCs w:val="19"/>
          <w:lang w:val="es-ES"/>
        </w:rPr>
        <w:t>la Ley 400.</w:t>
      </w:r>
    </w:p>
    <w:p w14:paraId="2526395F" w14:textId="77777777" w:rsidR="00546A4A" w:rsidRDefault="00546A4A" w:rsidP="00546A4A">
      <w:pPr>
        <w:widowControl w:val="0"/>
        <w:autoSpaceDE w:val="0"/>
        <w:autoSpaceDN w:val="0"/>
        <w:adjustRightInd w:val="0"/>
        <w:spacing w:before="111"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4673C07C" w14:textId="77777777" w:rsidR="00546A4A" w:rsidRDefault="00546A4A" w:rsidP="00546A4A">
      <w:pPr>
        <w:widowControl w:val="0"/>
        <w:autoSpaceDE w:val="0"/>
        <w:autoSpaceDN w:val="0"/>
        <w:adjustRightInd w:val="0"/>
        <w:spacing w:before="112" w:after="0" w:line="237" w:lineRule="auto"/>
        <w:ind w:right="-1"/>
        <w:jc w:val="both"/>
        <w:rPr>
          <w:rFonts w:ascii="Trebuchet MS" w:hAnsi="Trebuchet MS" w:cs="Trebuchet MS"/>
          <w:kern w:val="1"/>
          <w:sz w:val="19"/>
          <w:szCs w:val="19"/>
          <w:lang w:val="es-ES"/>
        </w:rPr>
      </w:pPr>
      <w:r>
        <w:rPr>
          <w:rFonts w:ascii="Trebuchet MS" w:hAnsi="Trebuchet MS" w:cs="Trebuchet MS"/>
          <w:sz w:val="19"/>
          <w:szCs w:val="19"/>
          <w:lang w:val="es-ES"/>
        </w:rPr>
        <w:t>Que el art. 25 de la Constitución de la Ciudad de Buenos Aires establece que el estado: "...acredita, evalúa,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regula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controla..."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gestión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personas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privadas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públicas,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estatales,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presten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servicios educativos.</w:t>
      </w:r>
    </w:p>
    <w:p w14:paraId="61AC401E" w14:textId="77777777" w:rsidR="00546A4A" w:rsidRDefault="00546A4A" w:rsidP="00546A4A">
      <w:pPr>
        <w:widowControl w:val="0"/>
        <w:autoSpaceDE w:val="0"/>
        <w:autoSpaceDN w:val="0"/>
        <w:adjustRightInd w:val="0"/>
        <w:spacing w:before="111"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la Ley 400 crea un régimen de pases para los alumnos de Institutos Privados, con mora en el pago de aranceles, con la finalidad de asegurar la continuidad de sus estudios.</w:t>
      </w:r>
    </w:p>
    <w:p w14:paraId="2824AE65" w14:textId="77777777" w:rsidR="00546A4A" w:rsidRDefault="00546A4A" w:rsidP="00546A4A">
      <w:pPr>
        <w:widowControl w:val="0"/>
        <w:autoSpaceDE w:val="0"/>
        <w:autoSpaceDN w:val="0"/>
        <w:adjustRightInd w:val="0"/>
        <w:spacing w:before="108"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dicha norma establece un plazo de quince días para otorgar vacantes a los alumnos cuya situación se encuentre prevista por el art. 2 de la misma.</w:t>
      </w:r>
    </w:p>
    <w:p w14:paraId="2F2569E4" w14:textId="77777777" w:rsidR="00546A4A" w:rsidRDefault="00546A4A" w:rsidP="00546A4A">
      <w:pPr>
        <w:widowControl w:val="0"/>
        <w:autoSpaceDE w:val="0"/>
        <w:autoSpaceDN w:val="0"/>
        <w:adjustRightInd w:val="0"/>
        <w:spacing w:before="109"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la dilatación de dicho trámite trae aparejado una serie de dificultades para el establecimiento educativo solicitante y para los alumnos en situación.</w:t>
      </w:r>
    </w:p>
    <w:p w14:paraId="495C2DA4" w14:textId="77777777" w:rsidR="00546A4A" w:rsidRDefault="00546A4A" w:rsidP="00546A4A">
      <w:pPr>
        <w:widowControl w:val="0"/>
        <w:autoSpaceDE w:val="0"/>
        <w:autoSpaceDN w:val="0"/>
        <w:adjustRightInd w:val="0"/>
        <w:spacing w:before="11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por otra parte, es intención de esta secretaría resolver con la mayor brevedad posible las situaciones que se planteen.</w:t>
      </w:r>
    </w:p>
    <w:p w14:paraId="704FC6F0" w14:textId="77777777" w:rsidR="00546A4A" w:rsidRDefault="00546A4A" w:rsidP="00546A4A">
      <w:pPr>
        <w:widowControl w:val="0"/>
        <w:autoSpaceDE w:val="0"/>
        <w:autoSpaceDN w:val="0"/>
        <w:adjustRightInd w:val="0"/>
        <w:spacing w:before="111"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Por ello, y en uso de las facultades legales que le son propias.</w:t>
      </w:r>
    </w:p>
    <w:p w14:paraId="3F8FE7A3" w14:textId="77777777" w:rsidR="00546A4A" w:rsidRDefault="00546A4A" w:rsidP="00546A4A">
      <w:pPr>
        <w:widowControl w:val="0"/>
        <w:autoSpaceDE w:val="0"/>
        <w:autoSpaceDN w:val="0"/>
        <w:adjustRightInd w:val="0"/>
        <w:spacing w:before="7" w:after="0" w:line="430" w:lineRule="atLeast"/>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SECRETARIO DE</w:t>
      </w:r>
      <w:r>
        <w:rPr>
          <w:rFonts w:ascii="Trebuchet MS" w:hAnsi="Trebuchet MS" w:cs="Trebuchet MS"/>
          <w:b/>
          <w:bCs/>
          <w:spacing w:val="-42"/>
          <w:kern w:val="1"/>
          <w:sz w:val="19"/>
          <w:szCs w:val="19"/>
          <w:lang w:val="es-ES"/>
        </w:rPr>
        <w:t xml:space="preserve"> </w:t>
      </w:r>
      <w:r>
        <w:rPr>
          <w:rFonts w:ascii="Trebuchet MS" w:hAnsi="Trebuchet MS" w:cs="Trebuchet MS"/>
          <w:b/>
          <w:bCs/>
          <w:kern w:val="1"/>
          <w:sz w:val="19"/>
          <w:szCs w:val="19"/>
          <w:lang w:val="es-ES"/>
        </w:rPr>
        <w:t>EDUCACION RESUELVE:</w:t>
      </w:r>
    </w:p>
    <w:p w14:paraId="0EB63B33" w14:textId="77777777" w:rsidR="00546A4A" w:rsidRDefault="00546A4A" w:rsidP="00546A4A">
      <w:pPr>
        <w:widowControl w:val="0"/>
        <w:autoSpaceDE w:val="0"/>
        <w:autoSpaceDN w:val="0"/>
        <w:adjustRightInd w:val="0"/>
        <w:spacing w:before="120"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1º</w:t>
      </w:r>
      <w:r>
        <w:rPr>
          <w:rFonts w:ascii="Trebuchet MS" w:hAnsi="Trebuchet MS" w:cs="Trebuchet MS"/>
          <w:spacing w:val="-6"/>
          <w:kern w:val="1"/>
          <w:sz w:val="19"/>
          <w:szCs w:val="19"/>
          <w:lang w:val="es-ES"/>
        </w:rPr>
        <w:t xml:space="preserve"> </w:t>
      </w:r>
      <w:proofErr w:type="spellStart"/>
      <w:r>
        <w:rPr>
          <w:rFonts w:ascii="Trebuchet MS" w:hAnsi="Trebuchet MS" w:cs="Trebuchet MS"/>
          <w:kern w:val="1"/>
          <w:sz w:val="19"/>
          <w:szCs w:val="19"/>
          <w:lang w:val="es-ES"/>
        </w:rPr>
        <w:t>Autorízase</w:t>
      </w:r>
      <w:proofErr w:type="spellEnd"/>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Educación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Gestión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Privada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evaluar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solicitudes de vacantes en escuelas públicas, que reciban de establecimientos educativos privados, verificando que cumplan con las condiciones establecidas en el art. 1 y 2 de la Ley 400 y a remitirlas, si se encontraran en forma, a la Dirección General de Educación, sin más</w:t>
      </w:r>
      <w:r>
        <w:rPr>
          <w:rFonts w:ascii="Trebuchet MS" w:hAnsi="Trebuchet MS" w:cs="Trebuchet MS"/>
          <w:spacing w:val="-21"/>
          <w:kern w:val="1"/>
          <w:sz w:val="19"/>
          <w:szCs w:val="19"/>
          <w:lang w:val="es-ES"/>
        </w:rPr>
        <w:t xml:space="preserve"> </w:t>
      </w:r>
      <w:r>
        <w:rPr>
          <w:rFonts w:ascii="Trebuchet MS" w:hAnsi="Trebuchet MS" w:cs="Trebuchet MS"/>
          <w:kern w:val="1"/>
          <w:sz w:val="19"/>
          <w:szCs w:val="19"/>
          <w:lang w:val="es-ES"/>
        </w:rPr>
        <w:t>trámite.</w:t>
      </w:r>
    </w:p>
    <w:p w14:paraId="0009C4FC" w14:textId="77777777" w:rsidR="00546A4A" w:rsidRDefault="00546A4A" w:rsidP="00546A4A">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2º </w:t>
      </w:r>
      <w:proofErr w:type="spellStart"/>
      <w:r>
        <w:rPr>
          <w:rFonts w:ascii="Trebuchet MS" w:hAnsi="Trebuchet MS" w:cs="Trebuchet MS"/>
          <w:kern w:val="1"/>
          <w:sz w:val="19"/>
          <w:szCs w:val="19"/>
          <w:lang w:val="es-ES"/>
        </w:rPr>
        <w:t>Facúltase</w:t>
      </w:r>
      <w:proofErr w:type="spellEnd"/>
      <w:r>
        <w:rPr>
          <w:rFonts w:ascii="Trebuchet MS" w:hAnsi="Trebuchet MS" w:cs="Trebuchet MS"/>
          <w:kern w:val="1"/>
          <w:sz w:val="19"/>
          <w:szCs w:val="19"/>
          <w:lang w:val="es-ES"/>
        </w:rPr>
        <w:t xml:space="preserve"> a la Dirección General de Educación, con intervención del área respectiva o a la Dirección de Educación Superior, si correspondiera, a otorgar vacante, de acuerdo con las disponibilidades existentes y considerando la afinidad de planes de estudio y el respectivo régimen de equivalencias, tal lo dictamina la normativa origen de la presente resolución, y realizar las notificaciones que correspondan.</w:t>
      </w:r>
    </w:p>
    <w:p w14:paraId="11D6A688" w14:textId="77777777" w:rsidR="00546A4A" w:rsidRDefault="00546A4A" w:rsidP="00546A4A">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3º La Dirección General de Educación de Gestión Privada y la Dirección General de Educación, podrán disponer medidas de acuerdo a sus modalidades en función de una mejor implementación de la presente.</w:t>
      </w:r>
    </w:p>
    <w:p w14:paraId="72BF5E9C" w14:textId="77777777" w:rsidR="00546A4A" w:rsidRDefault="00546A4A" w:rsidP="00546A4A">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4º Regístrese, Publíquese en el Boletín Oficial de la Ciudad de Buenos Aires y comuníquese por copia a la Subsecretaría de Educación, Direcciones Generales de Educación, de Educación de Gestión Privada, Dirección de Educación superior, Direcciones de área de Educación Media y técnica y de Educación Artística y al Programa Reporte. Cumplido, archívese.</w:t>
      </w:r>
    </w:p>
    <w:p w14:paraId="329D7ECD" w14:textId="77777777" w:rsidR="00546A4A" w:rsidRDefault="00546A4A" w:rsidP="00546A4A">
      <w:pPr>
        <w:widowControl w:val="0"/>
        <w:autoSpaceDE w:val="0"/>
        <w:autoSpaceDN w:val="0"/>
        <w:adjustRightInd w:val="0"/>
        <w:spacing w:before="4" w:after="0" w:line="240" w:lineRule="auto"/>
        <w:ind w:right="-1"/>
        <w:rPr>
          <w:rFonts w:ascii="Times New Roman" w:hAnsi="Times New Roman" w:cs="Times New Roman"/>
          <w:kern w:val="1"/>
          <w:sz w:val="24"/>
          <w:szCs w:val="24"/>
          <w:lang w:val="es-ES"/>
        </w:rPr>
      </w:pPr>
    </w:p>
    <w:p w14:paraId="5F16571C" w14:textId="77777777" w:rsidR="00546A4A" w:rsidRDefault="00546A4A" w:rsidP="00546A4A">
      <w:pPr>
        <w:widowControl w:val="0"/>
        <w:autoSpaceDE w:val="0"/>
        <w:autoSpaceDN w:val="0"/>
        <w:adjustRightInd w:val="0"/>
        <w:spacing w:before="1" w:after="0" w:line="230" w:lineRule="atLeast"/>
        <w:ind w:right="-1"/>
        <w:jc w:val="right"/>
        <w:rPr>
          <w:rFonts w:ascii="Trebuchet MS" w:hAnsi="Trebuchet MS" w:cs="Trebuchet MS"/>
          <w:kern w:val="1"/>
          <w:sz w:val="15"/>
          <w:szCs w:val="15"/>
          <w:lang w:val="es-ES"/>
        </w:rPr>
      </w:pPr>
      <w:r>
        <w:rPr>
          <w:rFonts w:ascii="Trebuchet MS" w:hAnsi="Trebuchet MS" w:cs="Trebuchet MS"/>
          <w:kern w:val="1"/>
          <w:sz w:val="15"/>
          <w:szCs w:val="15"/>
          <w:lang w:val="es-ES"/>
        </w:rPr>
        <w:t>Lic.</w:t>
      </w:r>
      <w:r>
        <w:rPr>
          <w:rFonts w:ascii="Trebuchet MS" w:hAnsi="Trebuchet MS" w:cs="Trebuchet MS"/>
          <w:spacing w:val="-1"/>
          <w:kern w:val="1"/>
          <w:sz w:val="15"/>
          <w:szCs w:val="15"/>
          <w:lang w:val="es-ES"/>
        </w:rPr>
        <w:t xml:space="preserve"> </w:t>
      </w:r>
      <w:r>
        <w:rPr>
          <w:rFonts w:ascii="Trebuchet MS" w:hAnsi="Trebuchet MS" w:cs="Trebuchet MS"/>
          <w:kern w:val="1"/>
          <w:sz w:val="15"/>
          <w:szCs w:val="15"/>
          <w:lang w:val="es-ES"/>
        </w:rPr>
        <w:t>DANIEL</w:t>
      </w:r>
      <w:r>
        <w:rPr>
          <w:rFonts w:ascii="Trebuchet MS" w:hAnsi="Trebuchet MS" w:cs="Trebuchet MS"/>
          <w:spacing w:val="-1"/>
          <w:kern w:val="1"/>
          <w:sz w:val="15"/>
          <w:szCs w:val="15"/>
          <w:lang w:val="es-ES"/>
        </w:rPr>
        <w:t xml:space="preserve"> </w:t>
      </w:r>
      <w:r>
        <w:rPr>
          <w:rFonts w:ascii="Trebuchet MS" w:hAnsi="Trebuchet MS" w:cs="Trebuchet MS"/>
          <w:kern w:val="1"/>
          <w:sz w:val="15"/>
          <w:szCs w:val="15"/>
          <w:lang w:val="es-ES"/>
        </w:rPr>
        <w:t>FILMUS</w:t>
      </w:r>
      <w:r>
        <w:rPr>
          <w:rFonts w:ascii="Trebuchet MS" w:hAnsi="Trebuchet MS" w:cs="Trebuchet MS"/>
          <w:spacing w:val="-1"/>
          <w:kern w:val="1"/>
          <w:sz w:val="15"/>
          <w:szCs w:val="15"/>
          <w:lang w:val="es-ES"/>
        </w:rPr>
        <w:t xml:space="preserve"> </w:t>
      </w:r>
      <w:r>
        <w:rPr>
          <w:rFonts w:ascii="Trebuchet MS" w:hAnsi="Trebuchet MS" w:cs="Trebuchet MS"/>
          <w:kern w:val="1"/>
          <w:sz w:val="15"/>
          <w:szCs w:val="15"/>
          <w:lang w:val="es-ES"/>
        </w:rPr>
        <w:t>SECRETARIO DE</w:t>
      </w:r>
      <w:r>
        <w:rPr>
          <w:rFonts w:ascii="Trebuchet MS" w:hAnsi="Trebuchet MS" w:cs="Trebuchet MS"/>
          <w:spacing w:val="-1"/>
          <w:kern w:val="1"/>
          <w:sz w:val="15"/>
          <w:szCs w:val="15"/>
          <w:lang w:val="es-ES"/>
        </w:rPr>
        <w:t xml:space="preserve"> </w:t>
      </w:r>
      <w:r>
        <w:rPr>
          <w:rFonts w:ascii="Trebuchet MS" w:hAnsi="Trebuchet MS" w:cs="Trebuchet MS"/>
          <w:kern w:val="1"/>
          <w:sz w:val="15"/>
          <w:szCs w:val="15"/>
          <w:lang w:val="es-ES"/>
        </w:rPr>
        <w:t>EDUCACION</w:t>
      </w:r>
    </w:p>
    <w:p w14:paraId="7718C8CD" w14:textId="77777777" w:rsidR="00546A4A" w:rsidRDefault="00546A4A" w:rsidP="00546A4A">
      <w:pPr>
        <w:widowControl w:val="0"/>
        <w:autoSpaceDE w:val="0"/>
        <w:autoSpaceDN w:val="0"/>
        <w:adjustRightInd w:val="0"/>
        <w:spacing w:before="1" w:after="0" w:line="240" w:lineRule="auto"/>
        <w:ind w:right="-1"/>
        <w:jc w:val="right"/>
        <w:rPr>
          <w:rFonts w:ascii="Trebuchet MS" w:hAnsi="Trebuchet MS" w:cs="Trebuchet MS"/>
          <w:kern w:val="1"/>
          <w:sz w:val="15"/>
          <w:szCs w:val="15"/>
          <w:lang w:val="es-ES"/>
        </w:rPr>
      </w:pPr>
      <w:r>
        <w:rPr>
          <w:rFonts w:ascii="Trebuchet MS" w:hAnsi="Trebuchet MS" w:cs="Trebuchet MS"/>
          <w:kern w:val="1"/>
          <w:sz w:val="15"/>
          <w:szCs w:val="15"/>
          <w:lang w:val="es-ES"/>
        </w:rPr>
        <w:t>GOBIERNO DE LA CIUDAD DE BUENOS AIRES</w:t>
      </w:r>
    </w:p>
    <w:p w14:paraId="0CDC5570" w14:textId="77777777" w:rsidR="00546A4A" w:rsidRDefault="00546A4A" w:rsidP="00546A4A">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7BC671FD" w14:textId="77777777" w:rsidR="00546A4A" w:rsidRDefault="00546A4A" w:rsidP="00546A4A">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071001FB" w14:textId="77777777" w:rsidR="00546A4A" w:rsidRDefault="00546A4A" w:rsidP="00546A4A">
      <w:pPr>
        <w:widowControl w:val="0"/>
        <w:autoSpaceDE w:val="0"/>
        <w:autoSpaceDN w:val="0"/>
        <w:adjustRightInd w:val="0"/>
        <w:spacing w:before="9" w:after="0" w:line="240" w:lineRule="auto"/>
        <w:ind w:right="-1"/>
        <w:rPr>
          <w:rFonts w:ascii="Times New Roman" w:hAnsi="Times New Roman" w:cs="Times New Roman"/>
          <w:kern w:val="1"/>
          <w:sz w:val="29"/>
          <w:szCs w:val="29"/>
          <w:lang w:val="es-ES"/>
        </w:rPr>
      </w:pPr>
    </w:p>
    <w:p w14:paraId="0C28B275" w14:textId="77777777" w:rsidR="00546A4A" w:rsidRDefault="00546A4A" w:rsidP="00546A4A">
      <w:pPr>
        <w:widowControl w:val="0"/>
        <w:autoSpaceDE w:val="0"/>
        <w:autoSpaceDN w:val="0"/>
        <w:adjustRightInd w:val="0"/>
        <w:spacing w:before="101" w:after="0" w:line="240" w:lineRule="auto"/>
        <w:ind w:right="-1"/>
        <w:rPr>
          <w:rFonts w:ascii="Times New Roman" w:hAnsi="Times New Roman" w:cs="Times New Roman"/>
          <w:kern w:val="1"/>
          <w:sz w:val="15"/>
          <w:szCs w:val="15"/>
          <w:lang w:val="es-ES"/>
        </w:rPr>
      </w:pPr>
    </w:p>
    <w:p w14:paraId="6CDB0543" w14:textId="39F7095A" w:rsidR="00592F1B" w:rsidRPr="00AC3BA6" w:rsidRDefault="00592F1B" w:rsidP="00546A4A">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46A4A"/>
    <w:rsid w:val="00592F1B"/>
    <w:rsid w:val="006D1685"/>
    <w:rsid w:val="007906D4"/>
    <w:rsid w:val="00905D9F"/>
    <w:rsid w:val="00A53D64"/>
    <w:rsid w:val="00AC3BA6"/>
    <w:rsid w:val="00B21F6A"/>
    <w:rsid w:val="00B64518"/>
    <w:rsid w:val="00B6751E"/>
    <w:rsid w:val="00B91930"/>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2199</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2021-05-28T14:14:00Z</dcterms:created>
  <dcterms:modified xsi:type="dcterms:W3CDTF">2021-05-28T14:14:00Z</dcterms:modified>
</cp:coreProperties>
</file>