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61B08" w14:textId="77777777" w:rsidR="00F16E12" w:rsidRDefault="00F16E12" w:rsidP="00F16E12">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60D7FD16" w14:textId="77777777" w:rsidR="00F16E12" w:rsidRDefault="00F16E12" w:rsidP="00F16E12">
      <w:pPr>
        <w:widowControl w:val="0"/>
        <w:autoSpaceDE w:val="0"/>
        <w:autoSpaceDN w:val="0"/>
        <w:adjustRightInd w:val="0"/>
        <w:spacing w:after="0" w:line="20" w:lineRule="exact"/>
        <w:ind w:right="-1"/>
        <w:rPr>
          <w:rFonts w:ascii="Times New Roman" w:hAnsi="Times New Roman" w:cs="Times New Roman"/>
          <w:sz w:val="2"/>
          <w:szCs w:val="2"/>
          <w:lang w:val="es-ES"/>
        </w:rPr>
      </w:pPr>
    </w:p>
    <w:p w14:paraId="59152682" w14:textId="77777777" w:rsidR="00F16E12" w:rsidRDefault="00F16E12" w:rsidP="00F16E12">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43FC119E" w14:textId="77777777" w:rsidR="00F16E12" w:rsidRDefault="00F16E12" w:rsidP="00F16E12">
      <w:pPr>
        <w:widowControl w:val="0"/>
        <w:autoSpaceDE w:val="0"/>
        <w:autoSpaceDN w:val="0"/>
        <w:adjustRightInd w:val="0"/>
        <w:spacing w:before="100" w:after="0" w:line="49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VALIDEZ NACIONAL DE TÍTULOS 2014 – 2016 </w:t>
      </w:r>
    </w:p>
    <w:p w14:paraId="443CA32B" w14:textId="383CA3FB" w:rsidR="00F16E12" w:rsidRDefault="00F16E12" w:rsidP="00F16E12">
      <w:pPr>
        <w:widowControl w:val="0"/>
        <w:autoSpaceDE w:val="0"/>
        <w:autoSpaceDN w:val="0"/>
        <w:adjustRightInd w:val="0"/>
        <w:spacing w:before="100" w:after="0" w:line="49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CONSEJO FEDERAL DE EDUCACIÓN </w:t>
      </w:r>
    </w:p>
    <w:p w14:paraId="1B732A30" w14:textId="654C87A1" w:rsidR="00F16E12" w:rsidRDefault="00F16E12" w:rsidP="00F16E12">
      <w:pPr>
        <w:widowControl w:val="0"/>
        <w:autoSpaceDE w:val="0"/>
        <w:autoSpaceDN w:val="0"/>
        <w:adjustRightInd w:val="0"/>
        <w:spacing w:before="100" w:after="0" w:line="491"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200/13</w:t>
      </w:r>
    </w:p>
    <w:p w14:paraId="2C262890" w14:textId="77777777" w:rsidR="00F16E12" w:rsidRDefault="00F16E12" w:rsidP="00F16E12">
      <w:pPr>
        <w:widowControl w:val="0"/>
        <w:autoSpaceDE w:val="0"/>
        <w:autoSpaceDN w:val="0"/>
        <w:adjustRightInd w:val="0"/>
        <w:spacing w:before="3" w:after="0" w:line="240" w:lineRule="auto"/>
        <w:ind w:right="-1"/>
        <w:rPr>
          <w:rFonts w:ascii="Times New Roman" w:hAnsi="Times New Roman" w:cs="Times New Roman"/>
          <w:b/>
          <w:bCs/>
          <w:sz w:val="20"/>
          <w:szCs w:val="20"/>
          <w:lang w:val="es-ES"/>
        </w:rPr>
      </w:pPr>
    </w:p>
    <w:p w14:paraId="4EEEEDD5" w14:textId="77777777" w:rsidR="00F16E12" w:rsidRDefault="00F16E12" w:rsidP="00F16E12">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San Carlos de Bariloche, Río Negro, 10 de junio de 2013</w:t>
      </w:r>
    </w:p>
    <w:p w14:paraId="3F26F632" w14:textId="77777777" w:rsidR="00F16E12" w:rsidRDefault="00F16E12" w:rsidP="00F16E12">
      <w:pPr>
        <w:widowControl w:val="0"/>
        <w:autoSpaceDE w:val="0"/>
        <w:autoSpaceDN w:val="0"/>
        <w:adjustRightInd w:val="0"/>
        <w:spacing w:before="4" w:after="0" w:line="240" w:lineRule="auto"/>
        <w:ind w:right="-1"/>
        <w:rPr>
          <w:rFonts w:ascii="Times New Roman" w:hAnsi="Times New Roman" w:cs="Times New Roman"/>
          <w:sz w:val="21"/>
          <w:szCs w:val="21"/>
          <w:lang w:val="es-ES"/>
        </w:rPr>
      </w:pPr>
    </w:p>
    <w:p w14:paraId="54BFB2A1"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 26.206, la Ley de Educación Técnico Profesional N° 26.058,  la  Ley  de Educación Superior N° 24.521, los Decretos del PODER EJECUTIVO NACIONAL N° 144/08 y 115/10, las Resoluciones de la cartera educativa nacional  (ME)  N°  1019/09,  1120/10,  2083/11,  2372/12  y  982/13,  la Resolución del CONSEJO FEDERAL DE EDUCACIÓN N° 188/12</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y,</w:t>
      </w:r>
    </w:p>
    <w:p w14:paraId="5934BBDB" w14:textId="77777777" w:rsidR="00F16E12" w:rsidRDefault="00F16E12" w:rsidP="00F16E12">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57179394" w14:textId="77777777" w:rsidR="00F16E12" w:rsidRDefault="00F16E12" w:rsidP="00F16E1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CONSIDERANDO:</w:t>
      </w:r>
    </w:p>
    <w:p w14:paraId="3E85787F" w14:textId="77777777" w:rsidR="00F16E12" w:rsidRDefault="00F16E12" w:rsidP="00F16E12">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los artículos 115° y 116° de la Ley de Educación Nacional N° 26.206 (LEN)  establecen  que  el MINISTERIO DE EDUCACIÓN fijará las políticas y estrategias educativas conforme a los fines y objetivos establecidos para el Sistema Educativo Nacional y que el  CONSEJO  FEDERAL  DE  EDUCACIÓN  será  el  ámbito de concertación, acuerdo y coordinación de la política educativa</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nacional.</w:t>
      </w:r>
    </w:p>
    <w:p w14:paraId="216C70E9" w14:textId="77777777" w:rsidR="00F16E12" w:rsidRDefault="00F16E12" w:rsidP="00F16E12">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E9304F2"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115° inciso “g” de la citada  ley,  establece  como  función  del PODER  EJECUTIVO  NACIONAL, a  través  del  MINISTERIO  DE  EDUCACIÓN,  el otorgamiento de la validez nacional de los títulos  y certificados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estudios.</w:t>
      </w:r>
    </w:p>
    <w:p w14:paraId="1931AE3B" w14:textId="77777777" w:rsidR="00F16E12" w:rsidRDefault="00F16E12" w:rsidP="00F16E1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1F5B9B8"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Decreto PEN Nº 115/10 estableció como responsabilidad primaria de la DIRECCIÓN DE VALIDEZ NACIONAL DE TÍTULOS Y ESTUDIOS la gestión de las tramitaciones conducentes al otorgamiento de validez nacional para los títulos y certificados correspondientes a las ofertas educativas existentes en el país, el registro de los estudios de todo el país que otorgan certificados con  validez  nacional,  y  la asistencia técnica a las jurisdicciones en lo relativo a la validez nacional de títulos y</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certificados.</w:t>
      </w:r>
    </w:p>
    <w:p w14:paraId="6AE288BB"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0FA45351"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Decreto PEN N° 144/08 se  otorgó  validez  nacional  a  los  títulos  y  certificaciones  correspondiente a la cohorte 2008, que emitan instituciones de gestión estatal y de gestión privada reconocidas por las autoridades educativas nacionales, provinciales y de la CIUDAD AUTÓNOMA DE BUENOS AIRES, correspondientes a estudios presenciales de todos los niveles y modalidades de la educación, previstos por la Ley 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26.206.</w:t>
      </w:r>
    </w:p>
    <w:p w14:paraId="2E1CF4C3"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7E6A85F"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mismo decreto fija los  requisitos,  plazos  y  condiciones  para  el otorgamiento de la validez  nacional correspondiente a las cohortes posteriores al año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2008.</w:t>
      </w:r>
    </w:p>
    <w:p w14:paraId="56D5FB95" w14:textId="77777777" w:rsidR="00F16E12" w:rsidRDefault="00F16E12" w:rsidP="00F16E1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A21705F"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artículo  16°  de  la  citada  norma  establece  que  este  Ministerio  es  la autoridad  de  aplicación  de la misma, quedando facultado para dictar las normas interpretativas y complementarias para su cumplimiento, pudiendo, en acuerdo con el CONSEJO FEDERAL DE EDUCACIÓN, ampliar los plazos para el inicio del trámite de validez nacional establecidos en los artículos 5°, 7° inc. b), 8° y 9°, para el caso de las jurisdicciones que así lo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requieran.</w:t>
      </w:r>
    </w:p>
    <w:p w14:paraId="1FE0E646"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1EEC547"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Resoluciones de la cartera educativa  nacional  N°  1019/09  y  N° 1120/10  extienden  los  plazos para el inicio  del  trámite  de  otorgamiento  de  validez nacional  establecidos  en  los  artículos  5°,  7°  inc. b), 8° y 9° del decreto antes mencionado, para las cohortes 2010 y 2011</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inclusive.</w:t>
      </w:r>
    </w:p>
    <w:p w14:paraId="1012F0F7" w14:textId="77777777" w:rsidR="00F16E12" w:rsidRDefault="00F16E12" w:rsidP="00F16E1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1B2E1BD"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la Resolución ME N° 2083/11 otorga validez nacional para la cohorte 2012 a los títulos y certificados correspondientes a los estudios presenciales de todos los niveles y modalidades de la educación previstos por la Ley N° 26.206, a excepción de los de Formación Docente y los de Educación Superior Universitaria; y </w:t>
      </w:r>
      <w:r>
        <w:rPr>
          <w:rFonts w:ascii="Trebuchet MS" w:hAnsi="Trebuchet MS" w:cs="Trebuchet MS"/>
          <w:kern w:val="1"/>
          <w:sz w:val="20"/>
          <w:szCs w:val="20"/>
          <w:lang w:val="es-ES"/>
        </w:rPr>
        <w:lastRenderedPageBreak/>
        <w:t>extiende los plazos para el inicio del trámite de validez nacional establecidos en los artículos 5°, 8° y 9° del Decreto PEN N° 144/08 hasta el 31 de Diciembre de 2012.</w:t>
      </w:r>
    </w:p>
    <w:p w14:paraId="068AD75F" w14:textId="77777777" w:rsidR="00F16E12" w:rsidRDefault="00F16E12" w:rsidP="00F16E12">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ME N° 2372/12 otorgó validez nacional para la cohorte 2013 a los títulos y certificados emitidos por instituciones educativas públicas de gestión estatal y de gestión privada reconocidas por las autoridades educativas nacionales, provinciales y de la CIUDAD AUTÓNOMA DE BUENOS AIRES, correspondientes a los estudios presenciales de todos  los  niveles  y  modalidades  de  la  educación  previstos por la Ley N° 26.206, a excepción de los de Formación Docente y los títulos y certificados emitidos por las universidades y los institutos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universitarios.</w:t>
      </w:r>
    </w:p>
    <w:p w14:paraId="17750479" w14:textId="77777777" w:rsidR="00F16E12" w:rsidRDefault="00F16E12" w:rsidP="00F16E12">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7F3948D4"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misma Resolución estableció en su artículo 4° que el otorgamiento de la validez nacional para las cohortes 2014, 2015 y 2016 quedará sujeto al cumplimiento de las pautas elaboradas en el marco  de  un  plan estratégico de otorgamiento de validez</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nacional.</w:t>
      </w:r>
    </w:p>
    <w:p w14:paraId="53ABFA08" w14:textId="77777777" w:rsidR="00F16E12" w:rsidRDefault="00F16E12" w:rsidP="00F16E1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7A3D90E"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Ministerial (ME) N° 982/13 creó el Registro Nacional  de Títulos  y  Certificados  con  Validez Nacional (</w:t>
      </w:r>
      <w:proofErr w:type="spellStart"/>
      <w:r>
        <w:rPr>
          <w:rFonts w:ascii="Trebuchet MS" w:hAnsi="Trebuchet MS" w:cs="Trebuchet MS"/>
          <w:kern w:val="1"/>
          <w:sz w:val="20"/>
          <w:szCs w:val="20"/>
          <w:lang w:val="es-ES"/>
        </w:rPr>
        <w:t>ReNaV</w:t>
      </w:r>
      <w:proofErr w:type="spellEnd"/>
      <w:r>
        <w:rPr>
          <w:rFonts w:ascii="Trebuchet MS" w:hAnsi="Trebuchet MS" w:cs="Trebuchet MS"/>
          <w:kern w:val="1"/>
          <w:sz w:val="20"/>
          <w:szCs w:val="20"/>
          <w:lang w:val="es-ES"/>
        </w:rPr>
        <w:t>) de Nivel Inicial, Primario, Secundario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Superior.</w:t>
      </w:r>
    </w:p>
    <w:p w14:paraId="33CAA0E3" w14:textId="77777777" w:rsidR="00F16E12" w:rsidRDefault="00F16E12" w:rsidP="00F16E1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F8B0425" w14:textId="77777777" w:rsidR="00F16E12" w:rsidRDefault="00F16E12" w:rsidP="00F16E12">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el marco del proceso de implementación de la LEN, el MINISTERIO DE EDUCACIÓN y el CONSEJO FEDERAL DE EDUCACIÓN se encuentran desarrollando acciones tendientes a garantizar  la  unidad  del  Sistema Educativo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Nacional.</w:t>
      </w:r>
    </w:p>
    <w:p w14:paraId="132AFDEC" w14:textId="77777777" w:rsidR="00F16E12" w:rsidRDefault="00F16E12" w:rsidP="00F16E1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35C1196"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mediante sucesivas  Resoluciones  del  CONSEJO  FEDERAL  DE EDUCACIÓN  se  han  aprobado  Núcleos  de Aprendizajes Prioritarios, Marcos de referencia y Lineamientos curriculares, que regulan las ofertas educativas de los niveles Inicial, Primario, Secundario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Superior.</w:t>
      </w:r>
    </w:p>
    <w:p w14:paraId="2E1B92F1" w14:textId="77777777" w:rsidR="00F16E12" w:rsidRDefault="00F16E12" w:rsidP="00F16E1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26A9DD8"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Resolución del CONSEJO FEDERAL DE EDUCACIÓN N° 188/12 aprobó el “Plan Nacional de Educación Obligatoria y Formación Docente 2012- 2016”, en el cual se incluye dentro  de  sus  líneas  de  acción,  el  Plan Estratégico  para  el cumplimiento  de  los  acuerdos  federales  que  regularizan  la  validez  nacional  de los títulos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certificados.</w:t>
      </w:r>
    </w:p>
    <w:p w14:paraId="3F362BF4" w14:textId="77777777" w:rsidR="00F16E12" w:rsidRDefault="00F16E12" w:rsidP="00F16E12">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C410A3B"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las diferentes áreas de la cartera educativa nacional con responsabilidad en la materia han tomado la intervención que les compete.</w:t>
      </w:r>
    </w:p>
    <w:p w14:paraId="06324411" w14:textId="77777777" w:rsidR="00F16E12" w:rsidRDefault="00F16E12" w:rsidP="00F16E1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169F05B"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el CONSEJO FEDERAL DE EDUCACIÓN, organismo </w:t>
      </w:r>
      <w:proofErr w:type="spellStart"/>
      <w:r>
        <w:rPr>
          <w:rFonts w:ascii="Trebuchet MS" w:hAnsi="Trebuchet MS" w:cs="Trebuchet MS"/>
          <w:kern w:val="1"/>
          <w:sz w:val="20"/>
          <w:szCs w:val="20"/>
          <w:lang w:val="es-ES"/>
        </w:rPr>
        <w:t>interjurisdiccional</w:t>
      </w:r>
      <w:proofErr w:type="spellEnd"/>
      <w:r>
        <w:rPr>
          <w:rFonts w:ascii="Trebuchet MS" w:hAnsi="Trebuchet MS" w:cs="Trebuchet MS"/>
          <w:kern w:val="1"/>
          <w:sz w:val="20"/>
          <w:szCs w:val="20"/>
          <w:lang w:val="es-ES"/>
        </w:rPr>
        <w:t xml:space="preserve"> de carácter permanente, es el  ámbito de concertación,  acuerdo  y  coordinación  de  la política  educativa  nacional,  debiendo  asegurar  la unidad y articulación del Sistema Educativo</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Nacional.</w:t>
      </w:r>
    </w:p>
    <w:p w14:paraId="6836A507" w14:textId="77777777" w:rsidR="00F16E12" w:rsidRDefault="00F16E12" w:rsidP="00F16E1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365F2CF" w14:textId="77777777" w:rsidR="00F16E12" w:rsidRDefault="00F16E12" w:rsidP="00F16E12">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miembros de esta Asamblea Federal a excepción de las provincias de Misiones y Santa Cruz por ausencia de sus representantes.</w:t>
      </w:r>
    </w:p>
    <w:p w14:paraId="4920ACF1" w14:textId="77777777" w:rsidR="00F16E12" w:rsidRDefault="00F16E12" w:rsidP="00F16E1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59766CE" w14:textId="77777777" w:rsidR="00F16E12" w:rsidRDefault="00F16E12" w:rsidP="00F16E1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7F62577E" w14:textId="77777777" w:rsidR="00F16E12" w:rsidRDefault="00F16E12" w:rsidP="00F16E12">
      <w:pPr>
        <w:widowControl w:val="0"/>
        <w:autoSpaceDE w:val="0"/>
        <w:autoSpaceDN w:val="0"/>
        <w:adjustRightInd w:val="0"/>
        <w:spacing w:before="8" w:after="0" w:line="247" w:lineRule="auto"/>
        <w:ind w:right="-1"/>
        <w:jc w:val="center"/>
        <w:rPr>
          <w:rFonts w:ascii="Trebuchet MS" w:hAnsi="Trebuchet MS" w:cs="Trebuchet MS"/>
          <w:b/>
          <w:bCs/>
          <w:kern w:val="1"/>
          <w:sz w:val="20"/>
          <w:szCs w:val="20"/>
          <w:lang w:val="es-ES"/>
        </w:rPr>
      </w:pPr>
    </w:p>
    <w:p w14:paraId="1C4FAABB" w14:textId="77777777" w:rsidR="00F16E12" w:rsidRDefault="00F16E12" w:rsidP="00F16E12">
      <w:pPr>
        <w:widowControl w:val="0"/>
        <w:autoSpaceDE w:val="0"/>
        <w:autoSpaceDN w:val="0"/>
        <w:adjustRightInd w:val="0"/>
        <w:spacing w:before="8"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LI DEL CONSEJO FEDERAL DE EDUCACIÓN RESUELVE:</w:t>
      </w:r>
    </w:p>
    <w:p w14:paraId="37557CC2" w14:textId="77777777" w:rsidR="00F16E12" w:rsidRDefault="00F16E12" w:rsidP="00F16E12">
      <w:pPr>
        <w:widowControl w:val="0"/>
        <w:autoSpaceDE w:val="0"/>
        <w:autoSpaceDN w:val="0"/>
        <w:adjustRightInd w:val="0"/>
        <w:spacing w:before="9" w:after="0" w:line="240" w:lineRule="auto"/>
        <w:ind w:right="-1"/>
        <w:rPr>
          <w:rFonts w:ascii="Times New Roman" w:hAnsi="Times New Roman" w:cs="Times New Roman"/>
          <w:b/>
          <w:bCs/>
          <w:kern w:val="1"/>
          <w:sz w:val="20"/>
          <w:szCs w:val="20"/>
          <w:lang w:val="es-ES"/>
        </w:rPr>
      </w:pPr>
    </w:p>
    <w:p w14:paraId="659FFA7D"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Aprobar el  Plan  Estratégico  para  el  otorgamiento  de  la  Validez Nacional  2014  –  2016, de los títulos y certificados emitidos por instituciones educativas de gestión estatal y de gestión privada reconocidas por las autoridades educativas jurisdiccionales, correspondientes a  los  estudios  presenciales  de los niveles  Inicial,  Primario,  Secundario  y  Superior  y  las  modalidades  del  Sistema  Educativo Nacional previstos por la Ley N° 26.206, que como ANEXO I, integra la presente  resolución.  El  presente  Plan no comprende a los títulos  y  certificados correspondientes a estudios de Formación Docente, a  estudios Universitarios ni a los títulos y certificados emitidos por los institutos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universitarios.</w:t>
      </w:r>
    </w:p>
    <w:p w14:paraId="45596959" w14:textId="77777777" w:rsidR="00F16E12" w:rsidRDefault="00F16E12" w:rsidP="00F16E12">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122B504E"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Acordar la celebración de Actas de Compromiso entre el Ministro de Educación de la Nación y los titulares de las carteras educativas jurisdiccionales, en donde  se  acordarán  los  lineamientos  de  trabajo estipulados particularmente para cada jurisdicción, en el marco de la implementación del Plan Estratégico aprobado en el Artículo</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1°.</w:t>
      </w:r>
    </w:p>
    <w:p w14:paraId="22B47311" w14:textId="77777777" w:rsidR="00F16E12" w:rsidRDefault="00F16E12" w:rsidP="00F16E12">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7FAF0586"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Regístrese, comuníquese a los integrantes del CONSEJO FEDERAL DE EDUCACIÓN y cumplido, archívese.</w:t>
      </w:r>
    </w:p>
    <w:p w14:paraId="7873E847" w14:textId="77777777" w:rsidR="00F16E12" w:rsidRDefault="00F16E12" w:rsidP="00F16E12">
      <w:pPr>
        <w:widowControl w:val="0"/>
        <w:autoSpaceDE w:val="0"/>
        <w:autoSpaceDN w:val="0"/>
        <w:adjustRightInd w:val="0"/>
        <w:spacing w:before="90"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CFE</w:t>
      </w:r>
    </w:p>
    <w:p w14:paraId="11A2DCB7"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lang w:val="es-ES"/>
        </w:rPr>
      </w:pPr>
    </w:p>
    <w:p w14:paraId="2FFA01C4" w14:textId="77777777" w:rsidR="00F16E12" w:rsidRDefault="00F16E12" w:rsidP="00F16E12">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p w14:paraId="25229944" w14:textId="77777777" w:rsidR="00F16E12" w:rsidRDefault="00F16E12" w:rsidP="00F16E12">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I</w:t>
      </w:r>
    </w:p>
    <w:p w14:paraId="3B5E901C" w14:textId="77777777" w:rsidR="00F16E12" w:rsidRDefault="00F16E12" w:rsidP="00F16E12">
      <w:pPr>
        <w:widowControl w:val="0"/>
        <w:autoSpaceDE w:val="0"/>
        <w:autoSpaceDN w:val="0"/>
        <w:adjustRightInd w:val="0"/>
        <w:spacing w:before="7"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CFE Nº 200/13</w:t>
      </w:r>
    </w:p>
    <w:p w14:paraId="35CB43CF" w14:textId="77777777" w:rsidR="00F16E12" w:rsidRDefault="00F16E12" w:rsidP="00F16E12">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51F53A88" w14:textId="77777777" w:rsidR="00F16E12" w:rsidRDefault="00F16E12" w:rsidP="00F16E12">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PLAN ESTRATÉGICO PARA EL OTORGAMIENTO DE LA VALIDEZ NACIONAL 2014 - 2016</w:t>
      </w:r>
    </w:p>
    <w:p w14:paraId="47D3678C" w14:textId="77777777" w:rsidR="00F16E12" w:rsidRDefault="00F16E12" w:rsidP="00F16E12">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4382E2B" w14:textId="77777777" w:rsidR="00F16E12" w:rsidRDefault="00F16E12" w:rsidP="00F16E1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Presentación</w:t>
      </w:r>
    </w:p>
    <w:p w14:paraId="4A4FE5F6" w14:textId="77777777" w:rsidR="00F16E12" w:rsidRDefault="00F16E12" w:rsidP="00F16E12">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7635ED00"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presente Plan tiene como objetivo alcanzar en el año 2016, la validez nacional de todos los títulos y certificados de las distintas ofertas educativas jurisdiccionales, en cumplimiento con lo establecido en los Acuerdos Federales, permitiendo su efectiva implementación.</w:t>
      </w:r>
    </w:p>
    <w:p w14:paraId="0DD202A7" w14:textId="77777777" w:rsidR="00F16E12" w:rsidRDefault="00F16E12" w:rsidP="00F16E12">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CBC78A4"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virtud del artículo 4° de la Resolución Ministerial N° 2372/12, el Plan contemplará el otorgamiento de la validez nacional de los títulos y certificados emitidos por las instituciones públicas de gestión estatal y de gestión privada reconocidas por las autoridades educativas provinciales y de la Ciudad Autónoma de Buenos Aires, correspondientes a los estudios presenciales de todos los niveles y modalidades de la educación previstos por la Ley N° 26.206, a excepción de los de Formación Docente y los títulos y certificados emitidos por las universidades y los institutos universitarios.</w:t>
      </w:r>
    </w:p>
    <w:p w14:paraId="4CFA3490"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5BF5DFE"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Teniendo  en  cuenta  que  se  ha  iniciado  a  nivel  nacional  un  proceso  gradual  de implementación  de  los acuerdos  federales,  con  relación  a  la  organización  institucional  y curricular para los distintos niveles y modalidades del Sistema Educativo Nacional, y que dicho proceso no ha sido completado, resulta necesario definir un Plan con plazos pautados para el cumplimiento de cada etapa</w:t>
      </w:r>
      <w:r>
        <w:rPr>
          <w:rFonts w:ascii="Trebuchet MS" w:hAnsi="Trebuchet MS" w:cs="Trebuchet MS"/>
          <w:spacing w:val="-25"/>
          <w:kern w:val="1"/>
          <w:sz w:val="20"/>
          <w:szCs w:val="20"/>
          <w:lang w:val="es-ES"/>
        </w:rPr>
        <w:t xml:space="preserve"> </w:t>
      </w:r>
      <w:r>
        <w:rPr>
          <w:rFonts w:ascii="Trebuchet MS" w:hAnsi="Trebuchet MS" w:cs="Trebuchet MS"/>
          <w:kern w:val="1"/>
          <w:sz w:val="20"/>
          <w:szCs w:val="20"/>
          <w:lang w:val="es-ES"/>
        </w:rPr>
        <w:t>programada.</w:t>
      </w:r>
    </w:p>
    <w:p w14:paraId="09859F69"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6413338"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ello, la implementación de este Plan se funda en la necesidad de que cada jurisdicción establezca plazos de ejecución de acuerdo a sus realidades y posibilidades educativas.</w:t>
      </w:r>
    </w:p>
    <w:p w14:paraId="6E56CE65" w14:textId="77777777" w:rsidR="00F16E12" w:rsidRDefault="00F16E12" w:rsidP="00F16E1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338FDD8"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Plan avanza hacia el cumplimiento de uno de los objetivos de  las  Políticas Transversales para  fortalecer el gobierno y desarrollo de los sistemas jurisdiccionales, del Plan Nacional de Educación Obligatoria y Formación Docente para el quinquenio 2012-2016, el cual abarca los diferentes niveles y modalidades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educación.</w:t>
      </w:r>
    </w:p>
    <w:p w14:paraId="0C6EF268" w14:textId="77777777" w:rsidR="00F16E12" w:rsidRDefault="00F16E12" w:rsidP="00F16E12">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17563655" w14:textId="77777777" w:rsidR="00F16E12" w:rsidRDefault="00F16E12" w:rsidP="00F16E12">
      <w:pPr>
        <w:widowControl w:val="0"/>
        <w:autoSpaceDE w:val="0"/>
        <w:autoSpaceDN w:val="0"/>
        <w:adjustRightInd w:val="0"/>
        <w:spacing w:after="0" w:line="496"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 tal efecto, el Plan se estructurará de acuerdo a las siguientes etapas de trabajo: </w:t>
      </w:r>
      <w:r>
        <w:rPr>
          <w:rFonts w:ascii="Trebuchet MS" w:hAnsi="Trebuchet MS" w:cs="Trebuchet MS"/>
          <w:b/>
          <w:bCs/>
          <w:kern w:val="1"/>
          <w:sz w:val="20"/>
          <w:szCs w:val="20"/>
          <w:lang w:val="es-ES"/>
        </w:rPr>
        <w:t xml:space="preserve">1° </w:t>
      </w:r>
      <w:r>
        <w:rPr>
          <w:rFonts w:ascii="Trebuchet MS" w:hAnsi="Trebuchet MS" w:cs="Trebuchet MS"/>
          <w:kern w:val="1"/>
          <w:sz w:val="20"/>
          <w:szCs w:val="20"/>
          <w:lang w:val="es-ES"/>
        </w:rPr>
        <w:t xml:space="preserve">Evaluación y Construcción del estado de situación por niveles y jurisdicciones. </w:t>
      </w:r>
      <w:r>
        <w:rPr>
          <w:rFonts w:ascii="Trebuchet MS" w:hAnsi="Trebuchet MS" w:cs="Trebuchet MS"/>
          <w:b/>
          <w:bCs/>
          <w:kern w:val="1"/>
          <w:sz w:val="20"/>
          <w:szCs w:val="20"/>
          <w:lang w:val="es-ES"/>
        </w:rPr>
        <w:t xml:space="preserve">2° </w:t>
      </w:r>
      <w:r>
        <w:rPr>
          <w:rFonts w:ascii="Trebuchet MS" w:hAnsi="Trebuchet MS" w:cs="Trebuchet MS"/>
          <w:kern w:val="1"/>
          <w:sz w:val="20"/>
          <w:szCs w:val="20"/>
          <w:lang w:val="es-ES"/>
        </w:rPr>
        <w:t>Presentación de los dispositivos de consulta - Encuentro Nacional.</w:t>
      </w:r>
    </w:p>
    <w:p w14:paraId="616F1758"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3° </w:t>
      </w:r>
      <w:r>
        <w:rPr>
          <w:rFonts w:ascii="Trebuchet MS" w:hAnsi="Trebuchet MS" w:cs="Trebuchet MS"/>
          <w:kern w:val="1"/>
          <w:sz w:val="20"/>
          <w:szCs w:val="20"/>
          <w:lang w:val="es-ES"/>
        </w:rPr>
        <w:t>Celebración de Actas de Compromiso entre el Ministro de Educación de la Nación y los Ministros de Educación Provinciales y de la Ciudad Autónoma de Buenos Aires.</w:t>
      </w:r>
    </w:p>
    <w:p w14:paraId="7DDF7B35" w14:textId="77777777" w:rsidR="00F16E12" w:rsidRDefault="00F16E12" w:rsidP="00F16E12">
      <w:pPr>
        <w:widowControl w:val="0"/>
        <w:autoSpaceDE w:val="0"/>
        <w:autoSpaceDN w:val="0"/>
        <w:adjustRightInd w:val="0"/>
        <w:spacing w:before="7" w:after="0" w:line="240" w:lineRule="auto"/>
        <w:ind w:right="-1"/>
        <w:rPr>
          <w:rFonts w:ascii="Times New Roman" w:hAnsi="Times New Roman" w:cs="Times New Roman"/>
          <w:kern w:val="1"/>
          <w:sz w:val="20"/>
          <w:szCs w:val="20"/>
          <w:lang w:val="es-ES"/>
        </w:rPr>
      </w:pPr>
    </w:p>
    <w:p w14:paraId="0186A435"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4° </w:t>
      </w:r>
      <w:r>
        <w:rPr>
          <w:rFonts w:ascii="Trebuchet MS" w:hAnsi="Trebuchet MS" w:cs="Trebuchet MS"/>
          <w:kern w:val="1"/>
          <w:sz w:val="20"/>
          <w:szCs w:val="20"/>
          <w:lang w:val="es-ES"/>
        </w:rPr>
        <w:t>Definiciones curriculares jurisdiccionales para cada nivel de enseñanza.</w:t>
      </w:r>
    </w:p>
    <w:p w14:paraId="255633C9" w14:textId="77777777" w:rsidR="00F16E12" w:rsidRDefault="00F16E12" w:rsidP="00F16E12">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70D7824"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5° </w:t>
      </w:r>
      <w:r>
        <w:rPr>
          <w:rFonts w:ascii="Trebuchet MS" w:hAnsi="Trebuchet MS" w:cs="Trebuchet MS"/>
          <w:kern w:val="1"/>
          <w:sz w:val="20"/>
          <w:szCs w:val="20"/>
          <w:lang w:val="es-ES"/>
        </w:rPr>
        <w:t>Presentaciones de los diseños curriculares jurisdiccionales.</w:t>
      </w:r>
    </w:p>
    <w:p w14:paraId="5AC6E56A" w14:textId="77777777" w:rsidR="00F16E12" w:rsidRDefault="00F16E12" w:rsidP="00F16E12">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B5BFE22"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6° </w:t>
      </w:r>
      <w:r>
        <w:rPr>
          <w:rFonts w:ascii="Trebuchet MS" w:hAnsi="Trebuchet MS" w:cs="Trebuchet MS"/>
          <w:kern w:val="1"/>
          <w:sz w:val="20"/>
          <w:szCs w:val="20"/>
          <w:lang w:val="es-ES"/>
        </w:rPr>
        <w:t>Evaluación nacional de las presentaciones jurisdiccionales y otorgamiento de validez nacional.</w:t>
      </w:r>
    </w:p>
    <w:p w14:paraId="33312409" w14:textId="77777777" w:rsidR="00F16E12" w:rsidRDefault="00F16E12" w:rsidP="00F16E12">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7F404442"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7° </w:t>
      </w:r>
      <w:r>
        <w:rPr>
          <w:rFonts w:ascii="Trebuchet MS" w:hAnsi="Trebuchet MS" w:cs="Trebuchet MS"/>
          <w:kern w:val="1"/>
          <w:sz w:val="20"/>
          <w:szCs w:val="20"/>
          <w:lang w:val="es-ES"/>
        </w:rPr>
        <w:t>Publicación en el Registro Nacional de Títulos y Certificados con  Validez  Nacional (</w:t>
      </w:r>
      <w:proofErr w:type="spellStart"/>
      <w:r>
        <w:rPr>
          <w:rFonts w:ascii="Trebuchet MS" w:hAnsi="Trebuchet MS" w:cs="Trebuchet MS"/>
          <w:kern w:val="1"/>
          <w:sz w:val="20"/>
          <w:szCs w:val="20"/>
          <w:lang w:val="es-ES"/>
        </w:rPr>
        <w:t>ReNaV</w:t>
      </w:r>
      <w:proofErr w:type="spellEnd"/>
      <w:r>
        <w:rPr>
          <w:rFonts w:ascii="Trebuchet MS" w:hAnsi="Trebuchet MS" w:cs="Trebuchet MS"/>
          <w:kern w:val="1"/>
          <w:sz w:val="20"/>
          <w:szCs w:val="20"/>
          <w:lang w:val="es-ES"/>
        </w:rPr>
        <w:t>) de Nivel Inicial, Primario, Secundario y Superior, de los títulos y certificados con validez nacional, y sus respectivos diseños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curriculares</w:t>
      </w:r>
    </w:p>
    <w:p w14:paraId="5F8793C2"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lang w:val="es-ES"/>
        </w:rPr>
      </w:pPr>
    </w:p>
    <w:p w14:paraId="6F3C5603"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lang w:val="es-ES"/>
        </w:rPr>
      </w:pPr>
    </w:p>
    <w:p w14:paraId="78BC9770" w14:textId="77777777" w:rsidR="00F16E12" w:rsidRDefault="00F16E12" w:rsidP="00F16E12">
      <w:pPr>
        <w:widowControl w:val="0"/>
        <w:autoSpaceDE w:val="0"/>
        <w:autoSpaceDN w:val="0"/>
        <w:adjustRightInd w:val="0"/>
        <w:spacing w:before="3" w:after="0" w:line="240" w:lineRule="auto"/>
        <w:ind w:right="-1"/>
        <w:rPr>
          <w:rFonts w:ascii="Times New Roman" w:hAnsi="Times New Roman" w:cs="Times New Roman"/>
          <w:kern w:val="1"/>
          <w:sz w:val="18"/>
          <w:szCs w:val="18"/>
          <w:lang w:val="es-ES"/>
        </w:rPr>
      </w:pPr>
    </w:p>
    <w:p w14:paraId="760AA8AF" w14:textId="77777777" w:rsidR="00F16E12" w:rsidRDefault="00F16E12" w:rsidP="00F16E12">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1° Evaluación y Construcción del estado de situación por niveles y jurisdicciones</w:t>
      </w:r>
    </w:p>
    <w:p w14:paraId="7AB5E5CA"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F3D698D"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620700BD" w14:textId="77777777" w:rsidR="00F16E12" w:rsidRDefault="00F16E12" w:rsidP="00F16E12">
      <w:pPr>
        <w:widowControl w:val="0"/>
        <w:autoSpaceDE w:val="0"/>
        <w:autoSpaceDN w:val="0"/>
        <w:adjustRightInd w:val="0"/>
        <w:spacing w:before="1" w:after="0" w:line="240" w:lineRule="auto"/>
        <w:ind w:right="-1"/>
        <w:rPr>
          <w:rFonts w:ascii="Times New Roman" w:hAnsi="Times New Roman" w:cs="Times New Roman"/>
          <w:b/>
          <w:bCs/>
          <w:kern w:val="1"/>
          <w:sz w:val="10"/>
          <w:szCs w:val="10"/>
          <w:lang w:val="es-ES"/>
        </w:rPr>
      </w:pPr>
    </w:p>
    <w:tbl>
      <w:tblPr>
        <w:tblW w:w="10173"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2518"/>
        <w:gridCol w:w="7655"/>
      </w:tblGrid>
      <w:tr w:rsidR="00F16E12" w14:paraId="1BF26729" w14:textId="77777777" w:rsidTr="00F16E12">
        <w:tblPrEx>
          <w:tblCellMar>
            <w:top w:w="0" w:type="dxa"/>
            <w:bottom w:w="0" w:type="dxa"/>
          </w:tblCellMar>
        </w:tblPrEx>
        <w:tc>
          <w:tcPr>
            <w:tcW w:w="2518" w:type="dxa"/>
            <w:tcBorders>
              <w:top w:val="single" w:sz="4" w:space="0" w:color="auto"/>
              <w:bottom w:val="single" w:sz="4" w:space="0" w:color="auto"/>
              <w:right w:val="single" w:sz="4" w:space="0" w:color="auto"/>
            </w:tcBorders>
            <w:tcMar>
              <w:top w:w="100" w:type="nil"/>
              <w:right w:w="100" w:type="nil"/>
            </w:tcMar>
          </w:tcPr>
          <w:p w14:paraId="41B44D8B" w14:textId="77777777" w:rsidR="00F16E12" w:rsidRDefault="00F16E12" w:rsidP="00F16E12">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Líneas de acción: Evaluación y Construcción del estado de situación por niveles y jurisdicciones</w:t>
            </w:r>
          </w:p>
        </w:tc>
        <w:tc>
          <w:tcPr>
            <w:tcW w:w="7655" w:type="dxa"/>
            <w:tcBorders>
              <w:top w:val="single" w:sz="4" w:space="0" w:color="auto"/>
              <w:left w:val="single" w:sz="4" w:space="0" w:color="auto"/>
              <w:bottom w:val="single" w:sz="4" w:space="0" w:color="auto"/>
            </w:tcBorders>
            <w:tcMar>
              <w:top w:w="100" w:type="nil"/>
              <w:right w:w="100" w:type="nil"/>
            </w:tcMar>
          </w:tcPr>
          <w:p w14:paraId="3D0FA324"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r w:rsidR="00F16E12" w14:paraId="1FD264F0" w14:textId="77777777" w:rsidTr="00F16E12">
        <w:tblPrEx>
          <w:tblBorders>
            <w:top w:val="none" w:sz="0" w:space="0" w:color="auto"/>
          </w:tblBorders>
          <w:tblCellMar>
            <w:top w:w="0" w:type="dxa"/>
            <w:bottom w:w="0" w:type="dxa"/>
          </w:tblCellMar>
        </w:tblPrEx>
        <w:tc>
          <w:tcPr>
            <w:tcW w:w="2518" w:type="dxa"/>
            <w:vMerge w:val="restart"/>
            <w:tcBorders>
              <w:top w:val="single" w:sz="4" w:space="0" w:color="auto"/>
              <w:bottom w:val="single" w:sz="4" w:space="0" w:color="auto"/>
              <w:right w:val="single" w:sz="4" w:space="0" w:color="auto"/>
            </w:tcBorders>
            <w:tcMar>
              <w:top w:w="100" w:type="nil"/>
              <w:right w:w="100" w:type="nil"/>
            </w:tcMar>
          </w:tcPr>
          <w:p w14:paraId="3D6C4385"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sz w:val="21"/>
                <w:szCs w:val="21"/>
                <w:lang w:val="es-ES"/>
              </w:rPr>
            </w:pPr>
          </w:p>
          <w:p w14:paraId="7D6724EC" w14:textId="77777777" w:rsidR="00F16E12" w:rsidRDefault="00F16E12" w:rsidP="00F16E12">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Responsabilidad Nacional</w:t>
            </w:r>
          </w:p>
        </w:tc>
        <w:tc>
          <w:tcPr>
            <w:tcW w:w="7655" w:type="dxa"/>
            <w:tcBorders>
              <w:top w:val="single" w:sz="4" w:space="0" w:color="auto"/>
              <w:left w:val="single" w:sz="4" w:space="0" w:color="auto"/>
              <w:bottom w:val="single" w:sz="4" w:space="0" w:color="auto"/>
            </w:tcBorders>
            <w:tcMar>
              <w:top w:w="100" w:type="nil"/>
              <w:right w:w="100" w:type="nil"/>
            </w:tcMar>
          </w:tcPr>
          <w:p w14:paraId="7900693E" w14:textId="77777777" w:rsidR="00F16E12" w:rsidRDefault="00F16E12" w:rsidP="00F16E12">
            <w:pPr>
              <w:widowControl w:val="0"/>
              <w:numPr>
                <w:ilvl w:val="0"/>
                <w:numId w:val="12"/>
              </w:numPr>
              <w:tabs>
                <w:tab w:val="left" w:pos="276"/>
              </w:tabs>
              <w:autoSpaceDE w:val="0"/>
              <w:autoSpaceDN w:val="0"/>
              <w:adjustRightInd w:val="0"/>
              <w:spacing w:after="0" w:line="240"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Análisis y Evaluación del estado de situación de la validez nacional por niveles y jurisdicción.</w:t>
            </w:r>
          </w:p>
        </w:tc>
      </w:tr>
      <w:tr w:rsidR="00F16E12" w14:paraId="5328869E" w14:textId="77777777" w:rsidTr="00F16E12">
        <w:tblPrEx>
          <w:tblBorders>
            <w:top w:val="none" w:sz="0" w:space="0" w:color="auto"/>
          </w:tblBorders>
          <w:tblCellMar>
            <w:top w:w="0" w:type="dxa"/>
            <w:bottom w:w="0" w:type="dxa"/>
          </w:tblCellMar>
        </w:tblPrEx>
        <w:tc>
          <w:tcPr>
            <w:tcW w:w="2518" w:type="dxa"/>
            <w:vMerge/>
            <w:tcBorders>
              <w:top w:val="single" w:sz="4" w:space="0" w:color="auto"/>
              <w:bottom w:val="single" w:sz="4" w:space="0" w:color="auto"/>
              <w:right w:val="single" w:sz="4" w:space="0" w:color="auto"/>
            </w:tcBorders>
            <w:tcMar>
              <w:top w:w="100" w:type="nil"/>
              <w:right w:w="100" w:type="nil"/>
            </w:tcMar>
          </w:tcPr>
          <w:p w14:paraId="657716F0"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7655" w:type="dxa"/>
            <w:tcBorders>
              <w:top w:val="single" w:sz="4" w:space="0" w:color="auto"/>
              <w:left w:val="single" w:sz="4" w:space="0" w:color="auto"/>
              <w:bottom w:val="single" w:sz="4" w:space="0" w:color="auto"/>
            </w:tcBorders>
            <w:tcMar>
              <w:top w:w="100" w:type="nil"/>
              <w:right w:w="100" w:type="nil"/>
            </w:tcMar>
          </w:tcPr>
          <w:p w14:paraId="24B7E788" w14:textId="77777777" w:rsidR="00F16E12" w:rsidRDefault="00F16E12" w:rsidP="00F16E12">
            <w:pPr>
              <w:widowControl w:val="0"/>
              <w:numPr>
                <w:ilvl w:val="0"/>
                <w:numId w:val="13"/>
              </w:numPr>
              <w:tabs>
                <w:tab w:val="left" w:pos="288"/>
              </w:tabs>
              <w:autoSpaceDE w:val="0"/>
              <w:autoSpaceDN w:val="0"/>
              <w:adjustRightInd w:val="0"/>
              <w:spacing w:before="3"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Relevamiento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Nacional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normativas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curriculares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jurisdiccionales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por</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nivel</w:t>
            </w:r>
          </w:p>
          <w:p w14:paraId="3E3A06ED" w14:textId="77777777" w:rsidR="00F16E12" w:rsidRDefault="00F16E12" w:rsidP="00F16E12">
            <w:pPr>
              <w:widowControl w:val="0"/>
              <w:autoSpaceDE w:val="0"/>
              <w:autoSpaceDN w:val="0"/>
              <w:adjustRightInd w:val="0"/>
              <w:spacing w:before="8"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en los casos en donde aún no se haya realizado.</w:t>
            </w:r>
          </w:p>
        </w:tc>
      </w:tr>
      <w:tr w:rsidR="00F16E12" w14:paraId="196D33D6" w14:textId="77777777" w:rsidTr="00F16E12">
        <w:tblPrEx>
          <w:tblBorders>
            <w:top w:val="none" w:sz="0" w:space="0" w:color="auto"/>
          </w:tblBorders>
          <w:tblCellMar>
            <w:top w:w="0" w:type="dxa"/>
            <w:bottom w:w="0" w:type="dxa"/>
          </w:tblCellMar>
        </w:tblPrEx>
        <w:tc>
          <w:tcPr>
            <w:tcW w:w="2518" w:type="dxa"/>
            <w:vMerge w:val="restart"/>
            <w:tcBorders>
              <w:top w:val="single" w:sz="4" w:space="0" w:color="auto"/>
              <w:bottom w:val="single" w:sz="4" w:space="0" w:color="auto"/>
              <w:right w:val="single" w:sz="4" w:space="0" w:color="auto"/>
            </w:tcBorders>
            <w:tcMar>
              <w:top w:w="100" w:type="nil"/>
              <w:right w:w="100" w:type="nil"/>
            </w:tcMar>
          </w:tcPr>
          <w:p w14:paraId="54C1310A"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lang w:val="es-ES"/>
              </w:rPr>
            </w:pPr>
          </w:p>
          <w:p w14:paraId="12833E14" w14:textId="77777777" w:rsidR="00F16E12" w:rsidRDefault="00F16E12" w:rsidP="00F16E12">
            <w:pPr>
              <w:widowControl w:val="0"/>
              <w:autoSpaceDE w:val="0"/>
              <w:autoSpaceDN w:val="0"/>
              <w:adjustRightInd w:val="0"/>
              <w:spacing w:before="7" w:after="0" w:line="240" w:lineRule="auto"/>
              <w:ind w:right="-1"/>
              <w:rPr>
                <w:rFonts w:ascii="Times New Roman" w:hAnsi="Times New Roman" w:cs="Times New Roman"/>
                <w:b/>
                <w:bCs/>
                <w:kern w:val="1"/>
                <w:sz w:val="19"/>
                <w:szCs w:val="19"/>
                <w:lang w:val="es-ES"/>
              </w:rPr>
            </w:pPr>
          </w:p>
          <w:p w14:paraId="4FF138E4" w14:textId="77777777" w:rsidR="00F16E12" w:rsidRDefault="00F16E12" w:rsidP="00F16E12">
            <w:pPr>
              <w:widowControl w:val="0"/>
              <w:autoSpaceDE w:val="0"/>
              <w:autoSpaceDN w:val="0"/>
              <w:adjustRightInd w:val="0"/>
              <w:spacing w:before="1"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Responsabilidad Jurisdiccional</w:t>
            </w:r>
          </w:p>
        </w:tc>
        <w:tc>
          <w:tcPr>
            <w:tcW w:w="7655" w:type="dxa"/>
            <w:tcBorders>
              <w:top w:val="single" w:sz="4" w:space="0" w:color="auto"/>
              <w:left w:val="single" w:sz="4" w:space="0" w:color="auto"/>
              <w:bottom w:val="single" w:sz="4" w:space="0" w:color="auto"/>
            </w:tcBorders>
            <w:tcMar>
              <w:top w:w="100" w:type="nil"/>
              <w:right w:w="100" w:type="nil"/>
            </w:tcMar>
          </w:tcPr>
          <w:p w14:paraId="7420626F" w14:textId="77777777" w:rsidR="00F16E12" w:rsidRDefault="00F16E12" w:rsidP="00F16E12">
            <w:pPr>
              <w:widowControl w:val="0"/>
              <w:numPr>
                <w:ilvl w:val="0"/>
                <w:numId w:val="14"/>
              </w:numPr>
              <w:tabs>
                <w:tab w:val="left" w:pos="418"/>
              </w:tabs>
              <w:autoSpaceDE w:val="0"/>
              <w:autoSpaceDN w:val="0"/>
              <w:adjustRightInd w:val="0"/>
              <w:spacing w:after="0" w:line="240"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Designación del responsable de validez nacional jurisdiccional. Esta designación deberá comunicarse a la Dirección de Validez Nacional de Títulos y Estudios del Ministerio de la Nación antes del 31 de julio del año</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2013.</w:t>
            </w:r>
          </w:p>
        </w:tc>
      </w:tr>
      <w:tr w:rsidR="00F16E12" w14:paraId="54A7C350" w14:textId="77777777" w:rsidTr="00F16E12">
        <w:tblPrEx>
          <w:tblBorders>
            <w:top w:val="none" w:sz="0" w:space="0" w:color="auto"/>
          </w:tblBorders>
          <w:tblCellMar>
            <w:top w:w="0" w:type="dxa"/>
            <w:bottom w:w="0" w:type="dxa"/>
          </w:tblCellMar>
        </w:tblPrEx>
        <w:tc>
          <w:tcPr>
            <w:tcW w:w="2518" w:type="dxa"/>
            <w:vMerge/>
            <w:tcBorders>
              <w:top w:val="single" w:sz="4" w:space="0" w:color="auto"/>
              <w:bottom w:val="single" w:sz="4" w:space="0" w:color="auto"/>
              <w:right w:val="single" w:sz="4" w:space="0" w:color="auto"/>
            </w:tcBorders>
            <w:tcMar>
              <w:top w:w="100" w:type="nil"/>
              <w:right w:w="100" w:type="nil"/>
            </w:tcMar>
          </w:tcPr>
          <w:p w14:paraId="0D6A67CC"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7655" w:type="dxa"/>
            <w:tcBorders>
              <w:top w:val="single" w:sz="4" w:space="0" w:color="auto"/>
              <w:left w:val="single" w:sz="4" w:space="0" w:color="auto"/>
              <w:bottom w:val="single" w:sz="4" w:space="0" w:color="auto"/>
            </w:tcBorders>
            <w:tcMar>
              <w:top w:w="100" w:type="nil"/>
              <w:right w:w="100" w:type="nil"/>
            </w:tcMar>
          </w:tcPr>
          <w:p w14:paraId="461CA26C" w14:textId="77777777" w:rsidR="00F16E12" w:rsidRDefault="00F16E12" w:rsidP="00F16E12">
            <w:pPr>
              <w:widowControl w:val="0"/>
              <w:numPr>
                <w:ilvl w:val="0"/>
                <w:numId w:val="15"/>
              </w:numPr>
              <w:tabs>
                <w:tab w:val="left" w:pos="425"/>
                <w:tab w:val="left" w:pos="1679"/>
                <w:tab w:val="left" w:pos="2168"/>
                <w:tab w:val="left" w:pos="2972"/>
                <w:tab w:val="left" w:pos="3403"/>
                <w:tab w:val="left" w:pos="4418"/>
                <w:tab w:val="left" w:pos="5829"/>
                <w:tab w:val="left" w:pos="6257"/>
                <w:tab w:val="left" w:pos="6715"/>
              </w:tabs>
              <w:autoSpaceDE w:val="0"/>
              <w:autoSpaceDN w:val="0"/>
              <w:adjustRightInd w:val="0"/>
              <w:spacing w:before="4"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w:t>
            </w:r>
            <w:r>
              <w:rPr>
                <w:rFonts w:ascii="Trebuchet MS" w:hAnsi="Trebuchet MS" w:cs="Trebuchet MS"/>
                <w:kern w:val="1"/>
                <w:sz w:val="20"/>
                <w:szCs w:val="20"/>
                <w:lang w:val="es-ES"/>
              </w:rPr>
              <w:tab/>
              <w:t>del</w:t>
            </w:r>
            <w:r>
              <w:rPr>
                <w:rFonts w:ascii="Trebuchet MS" w:hAnsi="Trebuchet MS" w:cs="Trebuchet MS"/>
                <w:kern w:val="1"/>
                <w:sz w:val="20"/>
                <w:szCs w:val="20"/>
                <w:lang w:val="es-ES"/>
              </w:rPr>
              <w:tab/>
              <w:t>estado</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situación</w:t>
            </w:r>
            <w:r>
              <w:rPr>
                <w:rFonts w:ascii="Trebuchet MS" w:hAnsi="Trebuchet MS" w:cs="Trebuchet MS"/>
                <w:kern w:val="1"/>
                <w:sz w:val="20"/>
                <w:szCs w:val="20"/>
                <w:lang w:val="es-ES"/>
              </w:rPr>
              <w:tab/>
              <w:t>jurisdiccional</w:t>
            </w:r>
            <w:r>
              <w:rPr>
                <w:rFonts w:ascii="Trebuchet MS" w:hAnsi="Trebuchet MS" w:cs="Trebuchet MS"/>
                <w:kern w:val="1"/>
                <w:sz w:val="20"/>
                <w:szCs w:val="20"/>
                <w:lang w:val="es-ES"/>
              </w:rPr>
              <w:tab/>
              <w:t>en</w:t>
            </w:r>
            <w:r>
              <w:rPr>
                <w:rFonts w:ascii="Trebuchet MS" w:hAnsi="Trebuchet MS" w:cs="Trebuchet MS"/>
                <w:kern w:val="1"/>
                <w:sz w:val="20"/>
                <w:szCs w:val="20"/>
                <w:lang w:val="es-ES"/>
              </w:rPr>
              <w:tab/>
              <w:t>los</w:t>
            </w:r>
            <w:r>
              <w:rPr>
                <w:rFonts w:ascii="Trebuchet MS" w:hAnsi="Trebuchet MS" w:cs="Trebuchet MS"/>
                <w:kern w:val="1"/>
                <w:sz w:val="20"/>
                <w:szCs w:val="20"/>
                <w:lang w:val="es-ES"/>
              </w:rPr>
              <w:tab/>
              <w:t>términos</w:t>
            </w:r>
          </w:p>
          <w:p w14:paraId="538FF49B" w14:textId="77777777" w:rsidR="00F16E12" w:rsidRDefault="00F16E12" w:rsidP="00F16E12">
            <w:pPr>
              <w:widowControl w:val="0"/>
              <w:autoSpaceDE w:val="0"/>
              <w:autoSpaceDN w:val="0"/>
              <w:adjustRightInd w:val="0"/>
              <w:spacing w:after="0" w:line="240" w:lineRule="atLeast"/>
              <w:ind w:right="-1"/>
              <w:rPr>
                <w:rFonts w:ascii="Trebuchet MS" w:hAnsi="Trebuchet MS" w:cs="Trebuchet MS"/>
                <w:kern w:val="1"/>
                <w:sz w:val="20"/>
                <w:szCs w:val="20"/>
                <w:lang w:val="es-ES"/>
              </w:rPr>
            </w:pPr>
            <w:r>
              <w:rPr>
                <w:rFonts w:ascii="Trebuchet MS" w:hAnsi="Trebuchet MS" w:cs="Trebuchet MS"/>
                <w:kern w:val="1"/>
                <w:sz w:val="20"/>
                <w:szCs w:val="20"/>
                <w:lang w:val="es-ES"/>
              </w:rPr>
              <w:t>pautados con los equipos técnicos del área de validez nacional y de las áreas curriculares pertinentes al nivel educativo.</w:t>
            </w:r>
          </w:p>
        </w:tc>
      </w:tr>
      <w:tr w:rsidR="00F16E12" w14:paraId="000E328F" w14:textId="77777777" w:rsidTr="00F16E12">
        <w:tblPrEx>
          <w:tblBorders>
            <w:top w:val="none" w:sz="0" w:space="0" w:color="auto"/>
            <w:bottom w:val="single" w:sz="4" w:space="0" w:color="auto"/>
          </w:tblBorders>
          <w:tblCellMar>
            <w:top w:w="0" w:type="dxa"/>
            <w:bottom w:w="0" w:type="dxa"/>
          </w:tblCellMar>
        </w:tblPrEx>
        <w:tc>
          <w:tcPr>
            <w:tcW w:w="2518" w:type="dxa"/>
            <w:tcBorders>
              <w:top w:val="single" w:sz="4" w:space="0" w:color="auto"/>
              <w:bottom w:val="single" w:sz="4" w:space="0" w:color="auto"/>
              <w:right w:val="single" w:sz="4" w:space="0" w:color="auto"/>
            </w:tcBorders>
            <w:tcMar>
              <w:top w:w="100" w:type="nil"/>
              <w:right w:w="100" w:type="nil"/>
            </w:tcMar>
          </w:tcPr>
          <w:p w14:paraId="42FCA835" w14:textId="77777777" w:rsidR="00F16E12" w:rsidRDefault="00F16E12" w:rsidP="00F16E12">
            <w:pPr>
              <w:widowControl w:val="0"/>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Responsabilidad Compartida entre Nación y las Jurisdicciones</w:t>
            </w:r>
          </w:p>
        </w:tc>
        <w:tc>
          <w:tcPr>
            <w:tcW w:w="7655" w:type="dxa"/>
            <w:tcBorders>
              <w:top w:val="single" w:sz="4" w:space="0" w:color="auto"/>
              <w:left w:val="single" w:sz="4" w:space="0" w:color="auto"/>
              <w:bottom w:val="single" w:sz="4" w:space="0" w:color="auto"/>
            </w:tcBorders>
            <w:tcMar>
              <w:top w:w="100" w:type="nil"/>
              <w:right w:w="100" w:type="nil"/>
            </w:tcMar>
          </w:tcPr>
          <w:p w14:paraId="71CDD26A" w14:textId="77777777" w:rsidR="00F16E12" w:rsidRDefault="00F16E12" w:rsidP="00F16E12">
            <w:pPr>
              <w:widowControl w:val="0"/>
              <w:numPr>
                <w:ilvl w:val="0"/>
                <w:numId w:val="16"/>
              </w:numPr>
              <w:tabs>
                <w:tab w:val="left" w:pos="280"/>
              </w:tabs>
              <w:autoSpaceDE w:val="0"/>
              <w:autoSpaceDN w:val="0"/>
              <w:adjustRightInd w:val="0"/>
              <w:spacing w:before="4"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Participación en las reuniones técnicas a las que convoquen las áreas de los distintos niveles educativos/ modalidades intervinientes y sus equipos curriculares y la Dirección de Validez Nacional de Títulos y Estudios de la</w:t>
            </w:r>
            <w:r>
              <w:rPr>
                <w:rFonts w:ascii="Trebuchet MS" w:hAnsi="Trebuchet MS" w:cs="Trebuchet MS"/>
                <w:spacing w:val="-43"/>
                <w:kern w:val="1"/>
                <w:sz w:val="20"/>
                <w:szCs w:val="20"/>
                <w:lang w:val="es-ES"/>
              </w:rPr>
              <w:t xml:space="preserve"> </w:t>
            </w:r>
            <w:r>
              <w:rPr>
                <w:rFonts w:ascii="Trebuchet MS" w:hAnsi="Trebuchet MS" w:cs="Trebuchet MS"/>
                <w:kern w:val="1"/>
                <w:sz w:val="20"/>
                <w:szCs w:val="20"/>
                <w:lang w:val="es-ES"/>
              </w:rPr>
              <w:t>Nación.</w:t>
            </w:r>
          </w:p>
        </w:tc>
      </w:tr>
    </w:tbl>
    <w:p w14:paraId="3AEB3280" w14:textId="77777777" w:rsidR="00F16E12" w:rsidRDefault="00F16E12" w:rsidP="00F16E12">
      <w:pPr>
        <w:widowControl w:val="0"/>
        <w:autoSpaceDE w:val="0"/>
        <w:autoSpaceDN w:val="0"/>
        <w:adjustRightInd w:val="0"/>
        <w:spacing w:after="0" w:line="240" w:lineRule="auto"/>
        <w:ind w:right="-1"/>
        <w:jc w:val="both"/>
        <w:rPr>
          <w:rFonts w:ascii="Times New Roman" w:hAnsi="Times New Roman" w:cs="Times New Roman"/>
          <w:kern w:val="1"/>
          <w:lang w:val="es-ES"/>
        </w:rPr>
      </w:pPr>
    </w:p>
    <w:p w14:paraId="6BFD20BB"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lang w:val="es-ES"/>
        </w:rPr>
      </w:pPr>
    </w:p>
    <w:p w14:paraId="68DD83AB" w14:textId="77777777" w:rsidR="00F16E12" w:rsidRDefault="00F16E12" w:rsidP="00F16E12">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2° Presentación de los dispositivos de consulta - Encuentro Nacional</w:t>
      </w:r>
    </w:p>
    <w:p w14:paraId="151119F4" w14:textId="77777777" w:rsidR="00F16E12" w:rsidRDefault="00F16E12" w:rsidP="00F16E12">
      <w:pPr>
        <w:widowControl w:val="0"/>
        <w:autoSpaceDE w:val="0"/>
        <w:autoSpaceDN w:val="0"/>
        <w:adjustRightInd w:val="0"/>
        <w:spacing w:before="11" w:after="0" w:line="240" w:lineRule="auto"/>
        <w:ind w:right="-1"/>
        <w:rPr>
          <w:rFonts w:ascii="Times New Roman" w:hAnsi="Times New Roman" w:cs="Times New Roman"/>
          <w:b/>
          <w:bCs/>
          <w:kern w:val="1"/>
          <w:sz w:val="20"/>
          <w:szCs w:val="20"/>
          <w:lang w:val="es-ES"/>
        </w:rPr>
      </w:pPr>
    </w:p>
    <w:tbl>
      <w:tblPr>
        <w:tblW w:w="10173"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2518"/>
        <w:gridCol w:w="7655"/>
      </w:tblGrid>
      <w:tr w:rsidR="00F16E12" w14:paraId="234A58BD" w14:textId="77777777" w:rsidTr="00F16E12">
        <w:tblPrEx>
          <w:tblCellMar>
            <w:top w:w="0" w:type="dxa"/>
            <w:bottom w:w="0" w:type="dxa"/>
          </w:tblCellMar>
        </w:tblPrEx>
        <w:tc>
          <w:tcPr>
            <w:tcW w:w="2518" w:type="dxa"/>
            <w:tcBorders>
              <w:top w:val="single" w:sz="4" w:space="0" w:color="auto"/>
              <w:bottom w:val="single" w:sz="4" w:space="0" w:color="auto"/>
              <w:right w:val="single" w:sz="4" w:space="0" w:color="auto"/>
            </w:tcBorders>
            <w:tcMar>
              <w:top w:w="100" w:type="nil"/>
              <w:right w:w="100" w:type="nil"/>
            </w:tcMar>
          </w:tcPr>
          <w:p w14:paraId="4C1D6F85" w14:textId="77777777" w:rsidR="00F16E12" w:rsidRDefault="00F16E12" w:rsidP="00F16E12">
            <w:pPr>
              <w:widowControl w:val="0"/>
              <w:autoSpaceDE w:val="0"/>
              <w:autoSpaceDN w:val="0"/>
              <w:adjustRightInd w:val="0"/>
              <w:spacing w:before="4" w:after="0" w:line="240" w:lineRule="auto"/>
              <w:ind w:right="-1"/>
              <w:jc w:val="center"/>
              <w:rPr>
                <w:rFonts w:ascii="Trebuchet MS" w:hAnsi="Trebuchet MS" w:cs="Trebuchet MS"/>
                <w:kern w:val="1"/>
                <w:sz w:val="20"/>
                <w:szCs w:val="20"/>
                <w:lang w:val="es-ES"/>
              </w:rPr>
            </w:pPr>
            <w:r>
              <w:rPr>
                <w:rFonts w:ascii="Trebuchet MS" w:hAnsi="Trebuchet MS" w:cs="Trebuchet MS"/>
                <w:kern w:val="1"/>
                <w:sz w:val="20"/>
                <w:szCs w:val="20"/>
                <w:lang w:val="es-ES"/>
              </w:rPr>
              <w:t>Líneas de acción: Presentación de los dispositivos de consulta – Encuentro Nacional</w:t>
            </w:r>
          </w:p>
        </w:tc>
        <w:tc>
          <w:tcPr>
            <w:tcW w:w="7655" w:type="dxa"/>
            <w:tcBorders>
              <w:top w:val="single" w:sz="4" w:space="0" w:color="auto"/>
              <w:left w:val="single" w:sz="4" w:space="0" w:color="auto"/>
              <w:bottom w:val="single" w:sz="4" w:space="0" w:color="auto"/>
            </w:tcBorders>
            <w:tcMar>
              <w:top w:w="100" w:type="nil"/>
              <w:right w:w="100" w:type="nil"/>
            </w:tcMar>
          </w:tcPr>
          <w:p w14:paraId="204C1EE7"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r w:rsidR="00F16E12" w14:paraId="21CDA2F5" w14:textId="77777777" w:rsidTr="00F16E12">
        <w:tblPrEx>
          <w:tblBorders>
            <w:top w:val="none" w:sz="0" w:space="0" w:color="auto"/>
          </w:tblBorders>
          <w:tblCellMar>
            <w:top w:w="0" w:type="dxa"/>
            <w:bottom w:w="0" w:type="dxa"/>
          </w:tblCellMar>
        </w:tblPrEx>
        <w:tc>
          <w:tcPr>
            <w:tcW w:w="2518" w:type="dxa"/>
            <w:tcBorders>
              <w:top w:val="single" w:sz="4" w:space="0" w:color="auto"/>
              <w:bottom w:val="single" w:sz="4" w:space="0" w:color="auto"/>
              <w:right w:val="single" w:sz="4" w:space="0" w:color="auto"/>
            </w:tcBorders>
            <w:tcMar>
              <w:top w:w="100" w:type="nil"/>
              <w:right w:w="100" w:type="nil"/>
            </w:tcMar>
          </w:tcPr>
          <w:p w14:paraId="763B15CF" w14:textId="77777777" w:rsidR="00F16E12" w:rsidRDefault="00F16E12" w:rsidP="00F16E12">
            <w:pPr>
              <w:widowControl w:val="0"/>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Responsabilidad Nacional</w:t>
            </w:r>
          </w:p>
        </w:tc>
        <w:tc>
          <w:tcPr>
            <w:tcW w:w="7655" w:type="dxa"/>
            <w:tcBorders>
              <w:top w:val="single" w:sz="4" w:space="0" w:color="auto"/>
              <w:left w:val="single" w:sz="4" w:space="0" w:color="auto"/>
              <w:bottom w:val="single" w:sz="4" w:space="0" w:color="auto"/>
            </w:tcBorders>
            <w:tcMar>
              <w:top w:w="100" w:type="nil"/>
              <w:right w:w="100" w:type="nil"/>
            </w:tcMar>
          </w:tcPr>
          <w:p w14:paraId="53C0AD85" w14:textId="77777777" w:rsidR="00F16E12" w:rsidRDefault="00F16E12" w:rsidP="00F16E12">
            <w:pPr>
              <w:widowControl w:val="0"/>
              <w:numPr>
                <w:ilvl w:val="0"/>
                <w:numId w:val="17"/>
              </w:numPr>
              <w:tabs>
                <w:tab w:val="left" w:pos="346"/>
              </w:tabs>
              <w:autoSpaceDE w:val="0"/>
              <w:autoSpaceDN w:val="0"/>
              <w:adjustRightInd w:val="0"/>
              <w:spacing w:after="0" w:line="240"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Organización del Encuentro Nacional  para  la  presentación  de  los  estados  de situación jurisdiccionales trabajados con los distintos equipos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técnicos.</w:t>
            </w:r>
          </w:p>
        </w:tc>
      </w:tr>
      <w:tr w:rsidR="00F16E12" w14:paraId="0D202937" w14:textId="77777777" w:rsidTr="00F16E12">
        <w:tblPrEx>
          <w:tblBorders>
            <w:top w:val="none" w:sz="0" w:space="0" w:color="auto"/>
          </w:tblBorders>
          <w:tblCellMar>
            <w:top w:w="0" w:type="dxa"/>
            <w:bottom w:w="0" w:type="dxa"/>
          </w:tblCellMar>
        </w:tblPrEx>
        <w:tc>
          <w:tcPr>
            <w:tcW w:w="2518" w:type="dxa"/>
            <w:vMerge w:val="restart"/>
            <w:tcBorders>
              <w:top w:val="single" w:sz="4" w:space="0" w:color="auto"/>
              <w:bottom w:val="single" w:sz="4" w:space="0" w:color="auto"/>
              <w:right w:val="single" w:sz="4" w:space="0" w:color="auto"/>
            </w:tcBorders>
            <w:tcMar>
              <w:top w:w="100" w:type="nil"/>
              <w:right w:w="100" w:type="nil"/>
            </w:tcMar>
          </w:tcPr>
          <w:p w14:paraId="68F14A19" w14:textId="77777777" w:rsidR="00F16E12" w:rsidRDefault="00F16E12" w:rsidP="00F16E12">
            <w:pPr>
              <w:widowControl w:val="0"/>
              <w:autoSpaceDE w:val="0"/>
              <w:autoSpaceDN w:val="0"/>
              <w:adjustRightInd w:val="0"/>
              <w:spacing w:before="3"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Responsabilidad Jurisdiccional</w:t>
            </w:r>
          </w:p>
        </w:tc>
        <w:tc>
          <w:tcPr>
            <w:tcW w:w="7655" w:type="dxa"/>
            <w:tcBorders>
              <w:top w:val="single" w:sz="4" w:space="0" w:color="auto"/>
              <w:left w:val="single" w:sz="4" w:space="0" w:color="auto"/>
              <w:bottom w:val="single" w:sz="4" w:space="0" w:color="auto"/>
            </w:tcBorders>
            <w:tcMar>
              <w:top w:w="100" w:type="nil"/>
              <w:right w:w="100" w:type="nil"/>
            </w:tcMar>
          </w:tcPr>
          <w:p w14:paraId="0BB48AA9" w14:textId="77777777" w:rsidR="00F16E12" w:rsidRDefault="00F16E12" w:rsidP="00F16E12">
            <w:pPr>
              <w:widowControl w:val="0"/>
              <w:numPr>
                <w:ilvl w:val="0"/>
                <w:numId w:val="18"/>
              </w:numPr>
              <w:tabs>
                <w:tab w:val="left" w:pos="280"/>
              </w:tabs>
              <w:autoSpaceDE w:val="0"/>
              <w:autoSpaceDN w:val="0"/>
              <w:adjustRightInd w:val="0"/>
              <w:spacing w:before="3"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Presentación de los responsables de validez nacional jurisdiccionales. A lo largo de las distintas etapas del Plan, se trabajará conjuntamente con los responsables jurisdiccionales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distintos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niveles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educativos/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modalidades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equipos</w:t>
            </w:r>
          </w:p>
          <w:p w14:paraId="28382640" w14:textId="77777777" w:rsidR="00F16E12" w:rsidRDefault="00F16E12" w:rsidP="00F16E12">
            <w:pPr>
              <w:widowControl w:val="0"/>
              <w:autoSpaceDE w:val="0"/>
              <w:autoSpaceDN w:val="0"/>
              <w:adjustRightInd w:val="0"/>
              <w:spacing w:before="3" w:after="0" w:line="217"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técnicos curriculares intervinientes.</w:t>
            </w:r>
          </w:p>
        </w:tc>
      </w:tr>
      <w:tr w:rsidR="00F16E12" w14:paraId="1A01F3D8" w14:textId="77777777" w:rsidTr="00F16E12">
        <w:tblPrEx>
          <w:tblBorders>
            <w:top w:val="none" w:sz="0" w:space="0" w:color="auto"/>
          </w:tblBorders>
          <w:tblCellMar>
            <w:top w:w="0" w:type="dxa"/>
            <w:bottom w:w="0" w:type="dxa"/>
          </w:tblCellMar>
        </w:tblPrEx>
        <w:tc>
          <w:tcPr>
            <w:tcW w:w="2518" w:type="dxa"/>
            <w:vMerge/>
            <w:tcBorders>
              <w:top w:val="single" w:sz="4" w:space="0" w:color="auto"/>
              <w:bottom w:val="single" w:sz="4" w:space="0" w:color="auto"/>
              <w:right w:val="single" w:sz="4" w:space="0" w:color="auto"/>
            </w:tcBorders>
            <w:tcMar>
              <w:top w:w="100" w:type="nil"/>
              <w:right w:w="100" w:type="nil"/>
            </w:tcMar>
          </w:tcPr>
          <w:p w14:paraId="25D9CCCB"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7655" w:type="dxa"/>
            <w:tcBorders>
              <w:top w:val="single" w:sz="4" w:space="0" w:color="auto"/>
              <w:left w:val="single" w:sz="4" w:space="0" w:color="auto"/>
              <w:bottom w:val="single" w:sz="4" w:space="0" w:color="auto"/>
            </w:tcBorders>
            <w:tcMar>
              <w:top w:w="100" w:type="nil"/>
              <w:right w:w="100" w:type="nil"/>
            </w:tcMar>
          </w:tcPr>
          <w:p w14:paraId="2F9248DC" w14:textId="77777777" w:rsidR="00F16E12" w:rsidRDefault="00F16E12" w:rsidP="00F16E12">
            <w:pPr>
              <w:widowControl w:val="0"/>
              <w:numPr>
                <w:ilvl w:val="0"/>
                <w:numId w:val="19"/>
              </w:numPr>
              <w:tabs>
                <w:tab w:val="left" w:pos="273"/>
              </w:tabs>
              <w:autoSpaceDE w:val="0"/>
              <w:autoSpaceDN w:val="0"/>
              <w:adjustRightInd w:val="0"/>
              <w:spacing w:before="4" w:after="0" w:line="216"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Presentación del estado de situación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jurisdiccional.</w:t>
            </w:r>
          </w:p>
        </w:tc>
      </w:tr>
      <w:tr w:rsidR="00F16E12" w14:paraId="5E83B463" w14:textId="77777777" w:rsidTr="00F16E12">
        <w:tblPrEx>
          <w:tblBorders>
            <w:top w:val="none" w:sz="0" w:space="0" w:color="auto"/>
          </w:tblBorders>
          <w:tblCellMar>
            <w:top w:w="0" w:type="dxa"/>
            <w:bottom w:w="0" w:type="dxa"/>
          </w:tblCellMar>
        </w:tblPrEx>
        <w:tc>
          <w:tcPr>
            <w:tcW w:w="2518" w:type="dxa"/>
            <w:vMerge w:val="restart"/>
            <w:tcBorders>
              <w:top w:val="single" w:sz="4" w:space="0" w:color="auto"/>
              <w:bottom w:val="single" w:sz="4" w:space="0" w:color="auto"/>
              <w:right w:val="single" w:sz="4" w:space="0" w:color="auto"/>
            </w:tcBorders>
            <w:tcMar>
              <w:top w:w="100" w:type="nil"/>
              <w:right w:w="100" w:type="nil"/>
            </w:tcMar>
          </w:tcPr>
          <w:p w14:paraId="57F469BA" w14:textId="77777777" w:rsidR="00F16E12" w:rsidRDefault="00F16E12" w:rsidP="00F16E12">
            <w:pPr>
              <w:widowControl w:val="0"/>
              <w:autoSpaceDE w:val="0"/>
              <w:autoSpaceDN w:val="0"/>
              <w:adjustRightInd w:val="0"/>
              <w:spacing w:after="0" w:line="240"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Responsabilidad Compartida entre Nación y las Jurisdicciones</w:t>
            </w:r>
          </w:p>
        </w:tc>
        <w:tc>
          <w:tcPr>
            <w:tcW w:w="7655" w:type="dxa"/>
            <w:tcBorders>
              <w:top w:val="single" w:sz="4" w:space="0" w:color="auto"/>
              <w:left w:val="single" w:sz="4" w:space="0" w:color="auto"/>
              <w:bottom w:val="single" w:sz="4" w:space="0" w:color="auto"/>
            </w:tcBorders>
            <w:tcMar>
              <w:top w:w="100" w:type="nil"/>
              <w:right w:w="100" w:type="nil"/>
            </w:tcMar>
          </w:tcPr>
          <w:p w14:paraId="5688F09E" w14:textId="77777777" w:rsidR="00F16E12" w:rsidRDefault="00F16E12" w:rsidP="00F16E12">
            <w:pPr>
              <w:widowControl w:val="0"/>
              <w:numPr>
                <w:ilvl w:val="0"/>
                <w:numId w:val="20"/>
              </w:numPr>
              <w:tabs>
                <w:tab w:val="left" w:pos="273"/>
              </w:tabs>
              <w:autoSpaceDE w:val="0"/>
              <w:autoSpaceDN w:val="0"/>
              <w:adjustRightInd w:val="0"/>
              <w:spacing w:before="4" w:after="0" w:line="216"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Desarrollo de instancias de intercambio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asesoramiento</w:t>
            </w:r>
          </w:p>
        </w:tc>
      </w:tr>
      <w:tr w:rsidR="00F16E12" w14:paraId="0AD95A5A" w14:textId="77777777" w:rsidTr="00F16E12">
        <w:tblPrEx>
          <w:tblBorders>
            <w:top w:val="none" w:sz="0" w:space="0" w:color="auto"/>
            <w:bottom w:val="single" w:sz="4" w:space="0" w:color="auto"/>
          </w:tblBorders>
          <w:tblCellMar>
            <w:top w:w="0" w:type="dxa"/>
            <w:bottom w:w="0" w:type="dxa"/>
          </w:tblCellMar>
        </w:tblPrEx>
        <w:tc>
          <w:tcPr>
            <w:tcW w:w="2518" w:type="dxa"/>
            <w:vMerge/>
            <w:tcBorders>
              <w:top w:val="single" w:sz="4" w:space="0" w:color="auto"/>
              <w:bottom w:val="single" w:sz="4" w:space="0" w:color="auto"/>
              <w:right w:val="single" w:sz="4" w:space="0" w:color="auto"/>
            </w:tcBorders>
            <w:tcMar>
              <w:top w:w="100" w:type="nil"/>
              <w:right w:w="100" w:type="nil"/>
            </w:tcMar>
          </w:tcPr>
          <w:p w14:paraId="7DAC35BE"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7655" w:type="dxa"/>
            <w:tcBorders>
              <w:top w:val="single" w:sz="4" w:space="0" w:color="auto"/>
              <w:left w:val="single" w:sz="4" w:space="0" w:color="auto"/>
              <w:bottom w:val="single" w:sz="4" w:space="0" w:color="auto"/>
            </w:tcBorders>
            <w:tcMar>
              <w:top w:w="100" w:type="nil"/>
              <w:right w:w="100" w:type="nil"/>
            </w:tcMar>
          </w:tcPr>
          <w:p w14:paraId="5296BCEC" w14:textId="77777777" w:rsidR="00F16E12" w:rsidRDefault="00F16E12" w:rsidP="00F16E12">
            <w:pPr>
              <w:widowControl w:val="0"/>
              <w:numPr>
                <w:ilvl w:val="0"/>
                <w:numId w:val="21"/>
              </w:numPr>
              <w:tabs>
                <w:tab w:val="left" w:pos="383"/>
              </w:tabs>
              <w:autoSpaceDE w:val="0"/>
              <w:autoSpaceDN w:val="0"/>
              <w:adjustRightInd w:val="0"/>
              <w:spacing w:before="4"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un</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Informe</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7"/>
                <w:kern w:val="1"/>
                <w:sz w:val="20"/>
                <w:szCs w:val="20"/>
                <w:lang w:val="es-ES"/>
              </w:rPr>
              <w:t xml:space="preserve"> </w:t>
            </w:r>
            <w:r>
              <w:rPr>
                <w:rFonts w:ascii="Trebuchet MS" w:hAnsi="Trebuchet MS" w:cs="Trebuchet MS"/>
                <w:kern w:val="1"/>
                <w:sz w:val="20"/>
                <w:szCs w:val="20"/>
                <w:lang w:val="es-ES"/>
              </w:rPr>
              <w:t>cuenta</w:t>
            </w:r>
            <w:r>
              <w:rPr>
                <w:rFonts w:ascii="Trebuchet MS" w:hAnsi="Trebuchet MS" w:cs="Trebuchet MS"/>
                <w:spacing w:val="4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articulación</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4"/>
                <w:kern w:val="1"/>
                <w:sz w:val="20"/>
                <w:szCs w:val="20"/>
                <w:lang w:val="es-ES"/>
              </w:rPr>
              <w:t xml:space="preserve"> </w:t>
            </w:r>
            <w:r>
              <w:rPr>
                <w:rFonts w:ascii="Trebuchet MS" w:hAnsi="Trebuchet MS" w:cs="Trebuchet MS"/>
                <w:kern w:val="1"/>
                <w:sz w:val="20"/>
                <w:szCs w:val="20"/>
                <w:lang w:val="es-ES"/>
              </w:rPr>
              <w:t>los</w:t>
            </w:r>
          </w:p>
          <w:p w14:paraId="7BDA9028" w14:textId="77777777" w:rsidR="00F16E12" w:rsidRDefault="00F16E12" w:rsidP="00F16E12">
            <w:pPr>
              <w:widowControl w:val="0"/>
              <w:autoSpaceDE w:val="0"/>
              <w:autoSpaceDN w:val="0"/>
              <w:adjustRightInd w:val="0"/>
              <w:spacing w:after="0" w:line="240" w:lineRule="atLeast"/>
              <w:ind w:right="-1"/>
              <w:rPr>
                <w:rFonts w:ascii="Trebuchet MS" w:hAnsi="Trebuchet MS" w:cs="Trebuchet MS"/>
                <w:kern w:val="1"/>
                <w:sz w:val="20"/>
                <w:szCs w:val="20"/>
                <w:lang w:val="es-ES"/>
              </w:rPr>
            </w:pPr>
            <w:r>
              <w:rPr>
                <w:rFonts w:ascii="Trebuchet MS" w:hAnsi="Trebuchet MS" w:cs="Trebuchet MS"/>
                <w:kern w:val="1"/>
                <w:sz w:val="20"/>
                <w:szCs w:val="20"/>
                <w:lang w:val="es-ES"/>
              </w:rPr>
              <w:t>estados de situación jurisdiccionales y su correspondencia con lo evaluado por  los equipos técnicos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Nación.</w:t>
            </w:r>
          </w:p>
        </w:tc>
      </w:tr>
    </w:tbl>
    <w:p w14:paraId="4F6BE013"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lang w:val="es-ES"/>
        </w:rPr>
      </w:pPr>
    </w:p>
    <w:p w14:paraId="78800746" w14:textId="77777777" w:rsidR="00F16E12" w:rsidRDefault="00F16E12" w:rsidP="00F16E12">
      <w:pPr>
        <w:widowControl w:val="0"/>
        <w:autoSpaceDE w:val="0"/>
        <w:autoSpaceDN w:val="0"/>
        <w:adjustRightInd w:val="0"/>
        <w:spacing w:before="8" w:after="0" w:line="240" w:lineRule="auto"/>
        <w:ind w:right="-1"/>
        <w:rPr>
          <w:rFonts w:ascii="Times New Roman" w:hAnsi="Times New Roman" w:cs="Times New Roman"/>
          <w:b/>
          <w:bCs/>
          <w:kern w:val="1"/>
          <w:sz w:val="19"/>
          <w:szCs w:val="19"/>
          <w:lang w:val="es-ES"/>
        </w:rPr>
      </w:pPr>
    </w:p>
    <w:p w14:paraId="62A4087B"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3° Celebración de Actas de Compromiso </w:t>
      </w:r>
      <w:r>
        <w:rPr>
          <w:rFonts w:ascii="Trebuchet MS" w:hAnsi="Trebuchet MS" w:cs="Trebuchet MS"/>
          <w:kern w:val="1"/>
          <w:sz w:val="20"/>
          <w:szCs w:val="20"/>
          <w:lang w:val="es-ES"/>
        </w:rPr>
        <w:t xml:space="preserve">entre el Ministro de Educación de la Nación y los Ministros de Educación Provinciales y de la Ciudad Autónoma de Buenos Aires. Dichos Acuerdos deberán contemplar las particularidades y necesidades educativas jurisdiccionales acordadas en las distintas instancias previas de trabajo de los equipos técnicos de la Nación y jurisdiccionales en pos de asegurar la continuidad y fortalecimiento de las políticas educativas enmarcadas en la Ley de Educación Nacional, en los distintos acuerdos del Consejo Federal de Educación y en la normativa educativa vigente, y a los efectos del </w:t>
      </w:r>
      <w:r>
        <w:rPr>
          <w:rFonts w:ascii="Trebuchet MS" w:hAnsi="Trebuchet MS" w:cs="Trebuchet MS"/>
          <w:kern w:val="1"/>
          <w:sz w:val="20"/>
          <w:szCs w:val="20"/>
          <w:lang w:val="es-ES"/>
        </w:rPr>
        <w:lastRenderedPageBreak/>
        <w:t>otorgamiento de la Validez Nacional.</w:t>
      </w:r>
    </w:p>
    <w:p w14:paraId="49E640DB" w14:textId="77777777" w:rsidR="00F16E12" w:rsidRDefault="00F16E12" w:rsidP="00F16E12">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2152FA29" w14:textId="77777777" w:rsidR="00F16E12" w:rsidRDefault="00F16E12" w:rsidP="00F16E12">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4° Definiciones curriculares jurisdiccionales para cada nivel de enseñanza</w:t>
      </w:r>
    </w:p>
    <w:p w14:paraId="0753C041" w14:textId="77777777" w:rsidR="00F16E12" w:rsidRDefault="00F16E12" w:rsidP="00F16E12">
      <w:pPr>
        <w:widowControl w:val="0"/>
        <w:autoSpaceDE w:val="0"/>
        <w:autoSpaceDN w:val="0"/>
        <w:adjustRightInd w:val="0"/>
        <w:spacing w:before="11" w:after="0" w:line="240" w:lineRule="auto"/>
        <w:ind w:right="-1"/>
        <w:rPr>
          <w:rFonts w:ascii="Times New Roman" w:hAnsi="Times New Roman" w:cs="Times New Roman"/>
          <w:b/>
          <w:bCs/>
          <w:kern w:val="1"/>
          <w:sz w:val="20"/>
          <w:szCs w:val="20"/>
          <w:lang w:val="es-ES"/>
        </w:rPr>
      </w:pPr>
    </w:p>
    <w:tbl>
      <w:tblPr>
        <w:tblW w:w="10031"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2518"/>
        <w:gridCol w:w="7513"/>
      </w:tblGrid>
      <w:tr w:rsidR="00F16E12" w14:paraId="7B4242A9" w14:textId="77777777" w:rsidTr="00F16E12">
        <w:tblPrEx>
          <w:tblCellMar>
            <w:top w:w="0" w:type="dxa"/>
            <w:bottom w:w="0" w:type="dxa"/>
          </w:tblCellMar>
        </w:tblPrEx>
        <w:tc>
          <w:tcPr>
            <w:tcW w:w="2518" w:type="dxa"/>
            <w:tcBorders>
              <w:top w:val="single" w:sz="4" w:space="0" w:color="auto"/>
              <w:bottom w:val="single" w:sz="4" w:space="0" w:color="auto"/>
              <w:right w:val="single" w:sz="4" w:space="0" w:color="auto"/>
            </w:tcBorders>
            <w:tcMar>
              <w:top w:w="100" w:type="nil"/>
              <w:right w:w="100" w:type="nil"/>
            </w:tcMar>
          </w:tcPr>
          <w:p w14:paraId="33032A6C" w14:textId="77777777" w:rsidR="00F16E12" w:rsidRDefault="00F16E12" w:rsidP="00F16E12">
            <w:pPr>
              <w:widowControl w:val="0"/>
              <w:autoSpaceDE w:val="0"/>
              <w:autoSpaceDN w:val="0"/>
              <w:adjustRightInd w:val="0"/>
              <w:spacing w:before="4"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Líneas de acción: Definiciones curriculares jurisdiccionales para cada nivel de enseñanza</w:t>
            </w:r>
          </w:p>
        </w:tc>
        <w:tc>
          <w:tcPr>
            <w:tcW w:w="7513" w:type="dxa"/>
            <w:tcBorders>
              <w:top w:val="single" w:sz="4" w:space="0" w:color="auto"/>
              <w:left w:val="single" w:sz="4" w:space="0" w:color="auto"/>
              <w:bottom w:val="single" w:sz="4" w:space="0" w:color="auto"/>
            </w:tcBorders>
            <w:tcMar>
              <w:top w:w="100" w:type="nil"/>
              <w:right w:w="100" w:type="nil"/>
            </w:tcMar>
          </w:tcPr>
          <w:p w14:paraId="1B7F3C8A"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r>
      <w:tr w:rsidR="00F16E12" w14:paraId="1CCEDF20" w14:textId="77777777" w:rsidTr="00F16E12">
        <w:tblPrEx>
          <w:tblBorders>
            <w:top w:val="none" w:sz="0" w:space="0" w:color="auto"/>
          </w:tblBorders>
          <w:tblCellMar>
            <w:top w:w="0" w:type="dxa"/>
            <w:bottom w:w="0" w:type="dxa"/>
          </w:tblCellMar>
        </w:tblPrEx>
        <w:tc>
          <w:tcPr>
            <w:tcW w:w="2518" w:type="dxa"/>
            <w:vMerge w:val="restart"/>
            <w:tcBorders>
              <w:top w:val="single" w:sz="4" w:space="0" w:color="auto"/>
              <w:bottom w:val="single" w:sz="4" w:space="0" w:color="auto"/>
              <w:right w:val="single" w:sz="4" w:space="0" w:color="auto"/>
            </w:tcBorders>
            <w:tcMar>
              <w:top w:w="100" w:type="nil"/>
              <w:right w:w="100" w:type="nil"/>
            </w:tcMar>
          </w:tcPr>
          <w:p w14:paraId="38044701"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lang w:val="es-ES"/>
              </w:rPr>
            </w:pPr>
          </w:p>
          <w:p w14:paraId="1724C3B6"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lang w:val="es-ES"/>
              </w:rPr>
            </w:pPr>
          </w:p>
          <w:p w14:paraId="7874E87E" w14:textId="77777777" w:rsidR="00F16E12" w:rsidRDefault="00F16E12" w:rsidP="00F16E12">
            <w:pPr>
              <w:widowControl w:val="0"/>
              <w:autoSpaceDE w:val="0"/>
              <w:autoSpaceDN w:val="0"/>
              <w:adjustRightInd w:val="0"/>
              <w:spacing w:before="7" w:after="0" w:line="240" w:lineRule="auto"/>
              <w:ind w:right="-1"/>
              <w:rPr>
                <w:rFonts w:ascii="Times New Roman" w:hAnsi="Times New Roman" w:cs="Times New Roman"/>
                <w:b/>
                <w:bCs/>
                <w:kern w:val="1"/>
                <w:sz w:val="17"/>
                <w:szCs w:val="17"/>
                <w:lang w:val="es-ES"/>
              </w:rPr>
            </w:pPr>
          </w:p>
          <w:p w14:paraId="38081FA3" w14:textId="77777777" w:rsidR="00F16E12" w:rsidRDefault="00F16E12" w:rsidP="00F16E12">
            <w:pPr>
              <w:widowControl w:val="0"/>
              <w:autoSpaceDE w:val="0"/>
              <w:autoSpaceDN w:val="0"/>
              <w:adjustRightInd w:val="0"/>
              <w:spacing w:before="1" w:after="0" w:line="240" w:lineRule="atLeast"/>
              <w:ind w:right="-1"/>
              <w:rPr>
                <w:rFonts w:ascii="Trebuchet MS" w:hAnsi="Trebuchet MS" w:cs="Trebuchet MS"/>
                <w:kern w:val="1"/>
                <w:sz w:val="20"/>
                <w:szCs w:val="20"/>
                <w:lang w:val="es-ES"/>
              </w:rPr>
            </w:pPr>
            <w:r>
              <w:rPr>
                <w:rFonts w:ascii="Trebuchet MS" w:hAnsi="Trebuchet MS" w:cs="Trebuchet MS"/>
                <w:kern w:val="1"/>
                <w:sz w:val="20"/>
                <w:szCs w:val="20"/>
                <w:lang w:val="es-ES"/>
              </w:rPr>
              <w:t>Responsabilidad Nacional</w:t>
            </w:r>
          </w:p>
        </w:tc>
        <w:tc>
          <w:tcPr>
            <w:tcW w:w="7513" w:type="dxa"/>
            <w:tcBorders>
              <w:top w:val="single" w:sz="4" w:space="0" w:color="auto"/>
              <w:left w:val="single" w:sz="4" w:space="0" w:color="auto"/>
              <w:bottom w:val="single" w:sz="4" w:space="0" w:color="auto"/>
            </w:tcBorders>
            <w:tcMar>
              <w:top w:w="100" w:type="nil"/>
              <w:right w:w="100" w:type="nil"/>
            </w:tcMar>
          </w:tcPr>
          <w:p w14:paraId="2AB27F6A" w14:textId="77777777" w:rsidR="00F16E12" w:rsidRDefault="00F16E12" w:rsidP="00F16E12">
            <w:pPr>
              <w:widowControl w:val="0"/>
              <w:numPr>
                <w:ilvl w:val="0"/>
                <w:numId w:val="22"/>
              </w:numPr>
              <w:tabs>
                <w:tab w:val="left" w:pos="333"/>
              </w:tabs>
              <w:autoSpaceDE w:val="0"/>
              <w:autoSpaceDN w:val="0"/>
              <w:adjustRightInd w:val="0"/>
              <w:spacing w:after="0" w:line="240"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Acompañamiento y/o asesoramiento a los equipos técnicos jurisdiccionales    en la construcción curricular para cada nivel de enseñanza de acuerdo a sus necesidades y en los términos que se establezcan en las Actas de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Compromiso.</w:t>
            </w:r>
          </w:p>
        </w:tc>
      </w:tr>
      <w:tr w:rsidR="00F16E12" w14:paraId="3D2B2FBB" w14:textId="77777777" w:rsidTr="00F16E12">
        <w:tblPrEx>
          <w:tblBorders>
            <w:top w:val="none" w:sz="0" w:space="0" w:color="auto"/>
            <w:bottom w:val="single" w:sz="4" w:space="0" w:color="auto"/>
          </w:tblBorders>
          <w:tblCellMar>
            <w:top w:w="0" w:type="dxa"/>
            <w:bottom w:w="0" w:type="dxa"/>
          </w:tblCellMar>
        </w:tblPrEx>
        <w:tc>
          <w:tcPr>
            <w:tcW w:w="2518" w:type="dxa"/>
            <w:vMerge/>
            <w:tcBorders>
              <w:top w:val="single" w:sz="4" w:space="0" w:color="auto"/>
              <w:bottom w:val="single" w:sz="4" w:space="0" w:color="auto"/>
              <w:right w:val="single" w:sz="4" w:space="0" w:color="auto"/>
            </w:tcBorders>
            <w:tcMar>
              <w:top w:w="100" w:type="nil"/>
              <w:right w:w="100" w:type="nil"/>
            </w:tcMar>
          </w:tcPr>
          <w:p w14:paraId="47528B64"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7513" w:type="dxa"/>
            <w:tcBorders>
              <w:top w:val="single" w:sz="4" w:space="0" w:color="auto"/>
              <w:left w:val="single" w:sz="4" w:space="0" w:color="auto"/>
              <w:bottom w:val="single" w:sz="4" w:space="0" w:color="auto"/>
            </w:tcBorders>
            <w:tcMar>
              <w:top w:w="100" w:type="nil"/>
              <w:right w:w="100" w:type="nil"/>
            </w:tcMar>
          </w:tcPr>
          <w:p w14:paraId="44BA6115" w14:textId="77777777" w:rsidR="00F16E12" w:rsidRDefault="00F16E12" w:rsidP="00F16E12">
            <w:pPr>
              <w:widowControl w:val="0"/>
              <w:numPr>
                <w:ilvl w:val="0"/>
                <w:numId w:val="23"/>
              </w:numPr>
              <w:tabs>
                <w:tab w:val="left" w:pos="398"/>
              </w:tabs>
              <w:autoSpaceDE w:val="0"/>
              <w:autoSpaceDN w:val="0"/>
              <w:adjustRightInd w:val="0"/>
              <w:spacing w:after="0" w:line="240"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Organizar reuniones técnicas en diferentes ámbitos que permitan el enriquecimiento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las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propuestas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curriculares,</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siempre</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base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lo</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33"/>
                <w:kern w:val="1"/>
                <w:sz w:val="20"/>
                <w:szCs w:val="20"/>
                <w:lang w:val="es-ES"/>
              </w:rPr>
              <w:t xml:space="preserve"> </w:t>
            </w:r>
            <w:r>
              <w:rPr>
                <w:rFonts w:ascii="Trebuchet MS" w:hAnsi="Trebuchet MS" w:cs="Trebuchet MS"/>
                <w:kern w:val="1"/>
                <w:sz w:val="20"/>
                <w:szCs w:val="20"/>
                <w:lang w:val="es-ES"/>
              </w:rPr>
              <w:t>se</w:t>
            </w:r>
          </w:p>
        </w:tc>
      </w:tr>
    </w:tbl>
    <w:p w14:paraId="3CD2EF40" w14:textId="77777777" w:rsidR="00F16E12" w:rsidRDefault="00F16E12" w:rsidP="00F16E12">
      <w:pPr>
        <w:widowControl w:val="0"/>
        <w:autoSpaceDE w:val="0"/>
        <w:autoSpaceDN w:val="0"/>
        <w:adjustRightInd w:val="0"/>
        <w:spacing w:before="4" w:after="0" w:line="240" w:lineRule="auto"/>
        <w:ind w:right="-1"/>
        <w:rPr>
          <w:rFonts w:ascii="Times New Roman" w:hAnsi="Times New Roman" w:cs="Times New Roman"/>
          <w:b/>
          <w:bCs/>
          <w:kern w:val="1"/>
          <w:sz w:val="7"/>
          <w:szCs w:val="7"/>
          <w:lang w:val="es-ES"/>
        </w:rPr>
      </w:pPr>
    </w:p>
    <w:tbl>
      <w:tblPr>
        <w:tblW w:w="0" w:type="auto"/>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2448"/>
        <w:gridCol w:w="7613"/>
      </w:tblGrid>
      <w:tr w:rsidR="00F16E12" w14:paraId="1A25EFF1" w14:textId="77777777">
        <w:tblPrEx>
          <w:tblCellMar>
            <w:top w:w="0" w:type="dxa"/>
            <w:bottom w:w="0" w:type="dxa"/>
          </w:tblCellMar>
        </w:tblPrEx>
        <w:tc>
          <w:tcPr>
            <w:tcW w:w="2448" w:type="dxa"/>
            <w:tcBorders>
              <w:top w:val="single" w:sz="4" w:space="0" w:color="auto"/>
              <w:bottom w:val="single" w:sz="4" w:space="0" w:color="auto"/>
              <w:right w:val="single" w:sz="4" w:space="0" w:color="auto"/>
            </w:tcBorders>
            <w:tcMar>
              <w:top w:w="100" w:type="nil"/>
              <w:right w:w="100" w:type="nil"/>
            </w:tcMar>
          </w:tcPr>
          <w:p w14:paraId="03314DAF"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tc>
        <w:tc>
          <w:tcPr>
            <w:tcW w:w="7613" w:type="dxa"/>
            <w:tcBorders>
              <w:top w:val="single" w:sz="4" w:space="0" w:color="auto"/>
              <w:left w:val="single" w:sz="4" w:space="0" w:color="auto"/>
              <w:bottom w:val="single" w:sz="4" w:space="0" w:color="auto"/>
            </w:tcBorders>
            <w:tcMar>
              <w:top w:w="100" w:type="nil"/>
              <w:right w:w="100" w:type="nil"/>
            </w:tcMar>
          </w:tcPr>
          <w:p w14:paraId="157DE77A" w14:textId="77777777" w:rsidR="00F16E12" w:rsidRDefault="00F16E12" w:rsidP="00F16E12">
            <w:pPr>
              <w:widowControl w:val="0"/>
              <w:autoSpaceDE w:val="0"/>
              <w:autoSpaceDN w:val="0"/>
              <w:adjustRightInd w:val="0"/>
              <w:spacing w:after="0" w:line="240"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acuerde en cada Acta de Compromiso y en aquellos casos en que la Secretaría de Educación, a través de la Dirección de Validez Nacional lo considere oportuno para el trabajo conjunto con las jurisdicciones.</w:t>
            </w:r>
          </w:p>
        </w:tc>
      </w:tr>
      <w:tr w:rsidR="00F16E12" w14:paraId="778E2149" w14:textId="77777777">
        <w:tblPrEx>
          <w:tblBorders>
            <w:top w:val="none" w:sz="0" w:space="0" w:color="auto"/>
          </w:tblBorders>
          <w:tblCellMar>
            <w:top w:w="0" w:type="dxa"/>
            <w:bottom w:w="0" w:type="dxa"/>
          </w:tblCellMar>
        </w:tblPrEx>
        <w:tc>
          <w:tcPr>
            <w:tcW w:w="2448" w:type="dxa"/>
            <w:vMerge w:val="restart"/>
            <w:tcBorders>
              <w:top w:val="single" w:sz="4" w:space="0" w:color="auto"/>
              <w:bottom w:val="single" w:sz="4" w:space="0" w:color="auto"/>
              <w:right w:val="single" w:sz="4" w:space="0" w:color="auto"/>
            </w:tcBorders>
            <w:tcMar>
              <w:top w:w="100" w:type="nil"/>
              <w:right w:w="100" w:type="nil"/>
            </w:tcMar>
          </w:tcPr>
          <w:p w14:paraId="3C72B902"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lang w:val="es-ES"/>
              </w:rPr>
            </w:pPr>
          </w:p>
          <w:p w14:paraId="18304E02"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lang w:val="es-ES"/>
              </w:rPr>
            </w:pPr>
          </w:p>
          <w:p w14:paraId="102D52C2" w14:textId="77777777" w:rsidR="00F16E12" w:rsidRDefault="00F16E12" w:rsidP="00F16E12">
            <w:pPr>
              <w:widowControl w:val="0"/>
              <w:autoSpaceDE w:val="0"/>
              <w:autoSpaceDN w:val="0"/>
              <w:adjustRightInd w:val="0"/>
              <w:spacing w:before="4" w:after="0" w:line="240" w:lineRule="auto"/>
              <w:ind w:right="-1"/>
              <w:rPr>
                <w:rFonts w:ascii="Times New Roman" w:hAnsi="Times New Roman" w:cs="Times New Roman"/>
                <w:b/>
                <w:bCs/>
                <w:kern w:val="1"/>
                <w:sz w:val="18"/>
                <w:szCs w:val="18"/>
                <w:lang w:val="es-ES"/>
              </w:rPr>
            </w:pPr>
          </w:p>
          <w:p w14:paraId="35CCA083" w14:textId="77777777" w:rsidR="00F16E12" w:rsidRDefault="00F16E12" w:rsidP="00F16E12">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Responsabilidad Jurisdiccional</w:t>
            </w:r>
          </w:p>
        </w:tc>
        <w:tc>
          <w:tcPr>
            <w:tcW w:w="7613" w:type="dxa"/>
            <w:tcBorders>
              <w:top w:val="single" w:sz="4" w:space="0" w:color="auto"/>
              <w:left w:val="single" w:sz="4" w:space="0" w:color="auto"/>
              <w:bottom w:val="single" w:sz="4" w:space="0" w:color="auto"/>
            </w:tcBorders>
            <w:tcMar>
              <w:top w:w="100" w:type="nil"/>
              <w:right w:w="100" w:type="nil"/>
            </w:tcMar>
          </w:tcPr>
          <w:p w14:paraId="063698BC" w14:textId="77777777" w:rsidR="00F16E12" w:rsidRDefault="00F16E12" w:rsidP="00F16E12">
            <w:pPr>
              <w:widowControl w:val="0"/>
              <w:numPr>
                <w:ilvl w:val="0"/>
                <w:numId w:val="24"/>
              </w:numPr>
              <w:tabs>
                <w:tab w:val="left" w:pos="369"/>
              </w:tabs>
              <w:autoSpaceDE w:val="0"/>
              <w:autoSpaceDN w:val="0"/>
              <w:adjustRightInd w:val="0"/>
              <w:spacing w:after="0" w:line="240"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Acompañar desde la formulación del Plan Jurisdiccional el proceso de construcción curricular y su consecuente certificación, titulación y adecuación a los requisitos para el otorgamiento de validez</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nacional.</w:t>
            </w:r>
          </w:p>
        </w:tc>
      </w:tr>
      <w:tr w:rsidR="00F16E12" w14:paraId="0AB7A31A" w14:textId="77777777">
        <w:tblPrEx>
          <w:tblBorders>
            <w:top w:val="none" w:sz="0" w:space="0" w:color="auto"/>
          </w:tblBorders>
          <w:tblCellMar>
            <w:top w:w="0" w:type="dxa"/>
            <w:bottom w:w="0" w:type="dxa"/>
          </w:tblCellMar>
        </w:tblPrEx>
        <w:tc>
          <w:tcPr>
            <w:tcW w:w="2448" w:type="dxa"/>
            <w:vMerge/>
            <w:tcBorders>
              <w:top w:val="single" w:sz="4" w:space="0" w:color="auto"/>
              <w:bottom w:val="single" w:sz="4" w:space="0" w:color="auto"/>
              <w:right w:val="single" w:sz="4" w:space="0" w:color="auto"/>
            </w:tcBorders>
            <w:tcMar>
              <w:top w:w="100" w:type="nil"/>
              <w:right w:w="100" w:type="nil"/>
            </w:tcMar>
          </w:tcPr>
          <w:p w14:paraId="229FE82E"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7613" w:type="dxa"/>
            <w:tcBorders>
              <w:top w:val="single" w:sz="4" w:space="0" w:color="auto"/>
              <w:left w:val="single" w:sz="4" w:space="0" w:color="auto"/>
              <w:bottom w:val="single" w:sz="4" w:space="0" w:color="auto"/>
            </w:tcBorders>
            <w:tcMar>
              <w:top w:w="100" w:type="nil"/>
              <w:right w:w="100" w:type="nil"/>
            </w:tcMar>
          </w:tcPr>
          <w:p w14:paraId="6B9AED86" w14:textId="77777777" w:rsidR="00F16E12" w:rsidRDefault="00F16E12" w:rsidP="00F16E12">
            <w:pPr>
              <w:widowControl w:val="0"/>
              <w:numPr>
                <w:ilvl w:val="0"/>
                <w:numId w:val="25"/>
              </w:numPr>
              <w:tabs>
                <w:tab w:val="left" w:pos="337"/>
              </w:tabs>
              <w:autoSpaceDE w:val="0"/>
              <w:autoSpaceDN w:val="0"/>
              <w:adjustRightInd w:val="0"/>
              <w:spacing w:before="3"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Abrir sólo nuevas ofertas curriculares que se desprendan de los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acuerdos</w:t>
            </w:r>
          </w:p>
          <w:p w14:paraId="31970C17" w14:textId="77777777" w:rsidR="00F16E12" w:rsidRDefault="00F16E12" w:rsidP="00F16E12">
            <w:pPr>
              <w:widowControl w:val="0"/>
              <w:autoSpaceDE w:val="0"/>
              <w:autoSpaceDN w:val="0"/>
              <w:adjustRightInd w:val="0"/>
              <w:spacing w:before="8"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federales.</w:t>
            </w:r>
          </w:p>
        </w:tc>
      </w:tr>
      <w:tr w:rsidR="00F16E12" w14:paraId="5177886D" w14:textId="77777777">
        <w:tblPrEx>
          <w:tblBorders>
            <w:top w:val="none" w:sz="0" w:space="0" w:color="auto"/>
          </w:tblBorders>
          <w:tblCellMar>
            <w:top w:w="0" w:type="dxa"/>
            <w:bottom w:w="0" w:type="dxa"/>
          </w:tblCellMar>
        </w:tblPrEx>
        <w:tc>
          <w:tcPr>
            <w:tcW w:w="2448" w:type="dxa"/>
            <w:vMerge/>
            <w:tcBorders>
              <w:top w:val="single" w:sz="4" w:space="0" w:color="auto"/>
              <w:bottom w:val="single" w:sz="4" w:space="0" w:color="auto"/>
              <w:right w:val="single" w:sz="4" w:space="0" w:color="auto"/>
            </w:tcBorders>
            <w:tcMar>
              <w:top w:w="100" w:type="nil"/>
              <w:right w:w="100" w:type="nil"/>
            </w:tcMar>
          </w:tcPr>
          <w:p w14:paraId="41F8E0A1"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7613" w:type="dxa"/>
            <w:tcBorders>
              <w:top w:val="single" w:sz="4" w:space="0" w:color="auto"/>
              <w:left w:val="single" w:sz="4" w:space="0" w:color="auto"/>
              <w:bottom w:val="single" w:sz="4" w:space="0" w:color="auto"/>
            </w:tcBorders>
            <w:tcMar>
              <w:top w:w="100" w:type="nil"/>
              <w:right w:w="100" w:type="nil"/>
            </w:tcMar>
          </w:tcPr>
          <w:p w14:paraId="03CE6592" w14:textId="77777777" w:rsidR="00F16E12" w:rsidRDefault="00F16E12" w:rsidP="00F16E12">
            <w:pPr>
              <w:widowControl w:val="0"/>
              <w:numPr>
                <w:ilvl w:val="0"/>
                <w:numId w:val="26"/>
              </w:numPr>
              <w:tabs>
                <w:tab w:val="left" w:pos="314"/>
              </w:tabs>
              <w:autoSpaceDE w:val="0"/>
              <w:autoSpaceDN w:val="0"/>
              <w:adjustRightInd w:val="0"/>
              <w:spacing w:before="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Analizar, reformular, ratificar y/o construir los diseños curriculares de cada nivel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enseñanza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partir</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acuerdos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federales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establecidos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Consejo</w:t>
            </w:r>
          </w:p>
          <w:p w14:paraId="201B46CA" w14:textId="77777777" w:rsidR="00F16E12" w:rsidRDefault="00F16E12" w:rsidP="00F16E12">
            <w:pPr>
              <w:widowControl w:val="0"/>
              <w:autoSpaceDE w:val="0"/>
              <w:autoSpaceDN w:val="0"/>
              <w:adjustRightInd w:val="0"/>
              <w:spacing w:before="1"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Federal de Educación.</w:t>
            </w:r>
          </w:p>
        </w:tc>
      </w:tr>
      <w:tr w:rsidR="00F16E12" w14:paraId="302D9190" w14:textId="77777777">
        <w:tblPrEx>
          <w:tblBorders>
            <w:top w:val="none" w:sz="0" w:space="0" w:color="auto"/>
          </w:tblBorders>
          <w:tblCellMar>
            <w:top w:w="0" w:type="dxa"/>
            <w:bottom w:w="0" w:type="dxa"/>
          </w:tblCellMar>
        </w:tblPrEx>
        <w:tc>
          <w:tcPr>
            <w:tcW w:w="2448" w:type="dxa"/>
            <w:vMerge w:val="restart"/>
            <w:tcBorders>
              <w:top w:val="single" w:sz="4" w:space="0" w:color="auto"/>
              <w:bottom w:val="single" w:sz="4" w:space="0" w:color="auto"/>
              <w:right w:val="single" w:sz="4" w:space="0" w:color="auto"/>
            </w:tcBorders>
            <w:tcMar>
              <w:top w:w="100" w:type="nil"/>
              <w:right w:w="100" w:type="nil"/>
            </w:tcMar>
          </w:tcPr>
          <w:p w14:paraId="71B99DA7"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b/>
                <w:bCs/>
                <w:kern w:val="1"/>
                <w:sz w:val="21"/>
                <w:szCs w:val="21"/>
                <w:lang w:val="es-ES"/>
              </w:rPr>
            </w:pPr>
          </w:p>
          <w:p w14:paraId="78E20A9F" w14:textId="77777777" w:rsidR="00F16E12" w:rsidRDefault="00F16E12" w:rsidP="00F16E12">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Responsabilidad Compartida entre Nación y las Jurisdicciones</w:t>
            </w:r>
          </w:p>
        </w:tc>
        <w:tc>
          <w:tcPr>
            <w:tcW w:w="7613" w:type="dxa"/>
            <w:tcBorders>
              <w:top w:val="single" w:sz="4" w:space="0" w:color="auto"/>
              <w:left w:val="single" w:sz="4" w:space="0" w:color="auto"/>
              <w:bottom w:val="single" w:sz="4" w:space="0" w:color="auto"/>
            </w:tcBorders>
            <w:tcMar>
              <w:top w:w="100" w:type="nil"/>
              <w:right w:w="100" w:type="nil"/>
            </w:tcMar>
          </w:tcPr>
          <w:p w14:paraId="12BE78D0" w14:textId="77777777" w:rsidR="00F16E12" w:rsidRDefault="00F16E12" w:rsidP="00F16E12">
            <w:pPr>
              <w:widowControl w:val="0"/>
              <w:numPr>
                <w:ilvl w:val="0"/>
                <w:numId w:val="27"/>
              </w:numPr>
              <w:tabs>
                <w:tab w:val="left" w:pos="288"/>
              </w:tabs>
              <w:autoSpaceDE w:val="0"/>
              <w:autoSpaceDN w:val="0"/>
              <w:adjustRightInd w:val="0"/>
              <w:spacing w:after="0" w:line="240"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de instancias de intercambio y asesoramiento bilaterales, regionales o nacionales</w:t>
            </w:r>
          </w:p>
        </w:tc>
      </w:tr>
      <w:tr w:rsidR="00F16E12" w14:paraId="4101547D" w14:textId="77777777">
        <w:tblPrEx>
          <w:tblBorders>
            <w:top w:val="none" w:sz="0" w:space="0" w:color="auto"/>
          </w:tblBorders>
          <w:tblCellMar>
            <w:top w:w="0" w:type="dxa"/>
            <w:bottom w:w="0" w:type="dxa"/>
          </w:tblCellMar>
        </w:tblPrEx>
        <w:tc>
          <w:tcPr>
            <w:tcW w:w="2448" w:type="dxa"/>
            <w:vMerge/>
            <w:tcBorders>
              <w:top w:val="single" w:sz="4" w:space="0" w:color="auto"/>
              <w:bottom w:val="single" w:sz="4" w:space="0" w:color="auto"/>
              <w:right w:val="single" w:sz="4" w:space="0" w:color="auto"/>
            </w:tcBorders>
            <w:tcMar>
              <w:top w:w="100" w:type="nil"/>
              <w:right w:w="100" w:type="nil"/>
            </w:tcMar>
          </w:tcPr>
          <w:p w14:paraId="5F361E86"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7613" w:type="dxa"/>
            <w:tcBorders>
              <w:top w:val="single" w:sz="4" w:space="0" w:color="auto"/>
              <w:left w:val="single" w:sz="4" w:space="0" w:color="auto"/>
              <w:bottom w:val="single" w:sz="4" w:space="0" w:color="auto"/>
            </w:tcBorders>
            <w:tcMar>
              <w:top w:w="100" w:type="nil"/>
              <w:right w:w="100" w:type="nil"/>
            </w:tcMar>
          </w:tcPr>
          <w:p w14:paraId="3A3DD305" w14:textId="77777777" w:rsidR="00F16E12" w:rsidRDefault="00F16E12" w:rsidP="00F16E12">
            <w:pPr>
              <w:widowControl w:val="0"/>
              <w:numPr>
                <w:ilvl w:val="0"/>
                <w:numId w:val="28"/>
              </w:numPr>
              <w:tabs>
                <w:tab w:val="left" w:pos="286"/>
              </w:tabs>
              <w:autoSpaceDE w:val="0"/>
              <w:autoSpaceDN w:val="0"/>
              <w:adjustRightInd w:val="0"/>
              <w:spacing w:before="3"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Documentar</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y/o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sistematizar</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informar</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lo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realizado</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orden</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cumplimiento</w:t>
            </w:r>
          </w:p>
          <w:p w14:paraId="70D54692" w14:textId="77777777" w:rsidR="00F16E12" w:rsidRDefault="00F16E12" w:rsidP="00F16E12">
            <w:pPr>
              <w:widowControl w:val="0"/>
              <w:autoSpaceDE w:val="0"/>
              <w:autoSpaceDN w:val="0"/>
              <w:adjustRightInd w:val="0"/>
              <w:spacing w:before="8" w:after="0" w:line="216"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del Acta respectiva.</w:t>
            </w:r>
          </w:p>
        </w:tc>
      </w:tr>
      <w:tr w:rsidR="00F16E12" w14:paraId="634F2658" w14:textId="77777777">
        <w:tblPrEx>
          <w:tblBorders>
            <w:top w:val="none" w:sz="0" w:space="0" w:color="auto"/>
            <w:bottom w:val="single" w:sz="4" w:space="0" w:color="auto"/>
          </w:tblBorders>
          <w:tblCellMar>
            <w:top w:w="0" w:type="dxa"/>
            <w:bottom w:w="0" w:type="dxa"/>
          </w:tblCellMar>
        </w:tblPrEx>
        <w:tc>
          <w:tcPr>
            <w:tcW w:w="2448" w:type="dxa"/>
            <w:vMerge/>
            <w:tcBorders>
              <w:top w:val="single" w:sz="4" w:space="0" w:color="auto"/>
              <w:bottom w:val="single" w:sz="4" w:space="0" w:color="auto"/>
              <w:right w:val="single" w:sz="4" w:space="0" w:color="auto"/>
            </w:tcBorders>
            <w:tcMar>
              <w:top w:w="100" w:type="nil"/>
              <w:right w:w="100" w:type="nil"/>
            </w:tcMar>
          </w:tcPr>
          <w:p w14:paraId="6B130637" w14:textId="77777777" w:rsidR="00F16E12" w:rsidRDefault="00F16E12" w:rsidP="00F16E12">
            <w:pPr>
              <w:widowControl w:val="0"/>
              <w:autoSpaceDE w:val="0"/>
              <w:autoSpaceDN w:val="0"/>
              <w:adjustRightInd w:val="0"/>
              <w:spacing w:after="0" w:line="240" w:lineRule="auto"/>
              <w:ind w:right="-1"/>
              <w:rPr>
                <w:rFonts w:ascii="Trebuchet MS" w:hAnsi="Trebuchet MS" w:cs="Trebuchet MS"/>
                <w:kern w:val="1"/>
                <w:sz w:val="20"/>
                <w:szCs w:val="20"/>
                <w:lang w:val="es-ES"/>
              </w:rPr>
            </w:pPr>
          </w:p>
        </w:tc>
        <w:tc>
          <w:tcPr>
            <w:tcW w:w="7613" w:type="dxa"/>
            <w:tcBorders>
              <w:top w:val="single" w:sz="4" w:space="0" w:color="auto"/>
              <w:left w:val="single" w:sz="4" w:space="0" w:color="auto"/>
              <w:bottom w:val="single" w:sz="4" w:space="0" w:color="auto"/>
            </w:tcBorders>
            <w:tcMar>
              <w:top w:w="100" w:type="nil"/>
              <w:right w:w="100" w:type="nil"/>
            </w:tcMar>
          </w:tcPr>
          <w:p w14:paraId="53E25EC5" w14:textId="77777777" w:rsidR="00F16E12" w:rsidRDefault="00F16E12" w:rsidP="00F16E12">
            <w:pPr>
              <w:widowControl w:val="0"/>
              <w:numPr>
                <w:ilvl w:val="0"/>
                <w:numId w:val="29"/>
              </w:numPr>
              <w:tabs>
                <w:tab w:val="left" w:pos="319"/>
              </w:tabs>
              <w:autoSpaceDE w:val="0"/>
              <w:autoSpaceDN w:val="0"/>
              <w:adjustRightInd w:val="0"/>
              <w:spacing w:before="4"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Elaboración conjunta de planes de trabajo para dar tratamiento a aquellos aspectos</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contemplados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normativa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nacional</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que</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corresponda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ajustar</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las</w:t>
            </w:r>
          </w:p>
          <w:p w14:paraId="2E5A8FE6" w14:textId="77777777" w:rsidR="00F16E12" w:rsidRDefault="00F16E12" w:rsidP="00F16E12">
            <w:pPr>
              <w:widowControl w:val="0"/>
              <w:autoSpaceDE w:val="0"/>
              <w:autoSpaceDN w:val="0"/>
              <w:adjustRightInd w:val="0"/>
              <w:spacing w:before="1" w:after="0" w:line="217"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definiciones jurisdiccionales.</w:t>
            </w:r>
          </w:p>
        </w:tc>
      </w:tr>
    </w:tbl>
    <w:p w14:paraId="24DDD844" w14:textId="77777777" w:rsidR="00F16E12" w:rsidRDefault="00F16E12" w:rsidP="00F16E12">
      <w:pPr>
        <w:widowControl w:val="0"/>
        <w:autoSpaceDE w:val="0"/>
        <w:autoSpaceDN w:val="0"/>
        <w:adjustRightInd w:val="0"/>
        <w:spacing w:after="0" w:line="247" w:lineRule="auto"/>
        <w:ind w:right="-1"/>
        <w:jc w:val="both"/>
        <w:rPr>
          <w:rFonts w:ascii="Times New Roman" w:hAnsi="Times New Roman" w:cs="Times New Roman"/>
          <w:kern w:val="1"/>
          <w:sz w:val="20"/>
          <w:szCs w:val="20"/>
          <w:lang w:val="es-ES"/>
        </w:rPr>
      </w:pPr>
      <w:bookmarkStart w:id="0" w:name="_GoBack"/>
      <w:bookmarkEnd w:id="0"/>
    </w:p>
    <w:p w14:paraId="6DBE6D2F" w14:textId="77777777" w:rsidR="00F16E12" w:rsidRDefault="00F16E12" w:rsidP="00F16E12">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6FA507"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5° Presentaciones jurisdiccionales </w:t>
      </w:r>
      <w:r>
        <w:rPr>
          <w:rFonts w:ascii="Trebuchet MS" w:hAnsi="Trebuchet MS" w:cs="Trebuchet MS"/>
          <w:kern w:val="1"/>
          <w:sz w:val="20"/>
          <w:szCs w:val="20"/>
          <w:lang w:val="es-ES"/>
        </w:rPr>
        <w:t>de los respectivos diseños curriculares correspondientes a los distintos niveles educativos, en consonancia con los objetivos estipulados en cada Acta de Compromiso.</w:t>
      </w:r>
    </w:p>
    <w:p w14:paraId="7F1AC83E" w14:textId="77777777" w:rsidR="00F16E12" w:rsidRDefault="00F16E12" w:rsidP="00F16E12">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180F666"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6° Evaluación de las presentaciones jurisdiccionales </w:t>
      </w:r>
      <w:r>
        <w:rPr>
          <w:rFonts w:ascii="Trebuchet MS" w:hAnsi="Trebuchet MS" w:cs="Trebuchet MS"/>
          <w:kern w:val="1"/>
          <w:sz w:val="20"/>
          <w:szCs w:val="20"/>
          <w:lang w:val="es-ES"/>
        </w:rPr>
        <w:t>por parte de los equipos técnicos nacionales intervinientes en el trámite de otorgamiento de la Validez Nacional. En esta instancia, se seguirá lo  dispuesto por la norma de procedimiento para el otorgamiento de la  validez  nacional  que  estuviese  vigente y se procederá a otorgar validez nacional a través del acto administrativo</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correspondiente.</w:t>
      </w:r>
    </w:p>
    <w:p w14:paraId="0B7974E9" w14:textId="77777777" w:rsidR="00F16E12" w:rsidRDefault="00F16E12" w:rsidP="00F16E12">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D86B78E" w14:textId="77777777" w:rsidR="00F16E12" w:rsidRDefault="00F16E12" w:rsidP="00F16E12">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7° Publicación en el Registro Nacional de  Títulos  y  Certificados  </w:t>
      </w:r>
      <w:r>
        <w:rPr>
          <w:rFonts w:ascii="Trebuchet MS" w:hAnsi="Trebuchet MS" w:cs="Trebuchet MS"/>
          <w:kern w:val="1"/>
          <w:sz w:val="20"/>
          <w:szCs w:val="20"/>
          <w:lang w:val="es-ES"/>
        </w:rPr>
        <w:t>con  Validez  Nacional  (</w:t>
      </w:r>
      <w:proofErr w:type="spellStart"/>
      <w:r>
        <w:rPr>
          <w:rFonts w:ascii="Trebuchet MS" w:hAnsi="Trebuchet MS" w:cs="Trebuchet MS"/>
          <w:kern w:val="1"/>
          <w:sz w:val="20"/>
          <w:szCs w:val="20"/>
          <w:lang w:val="es-ES"/>
        </w:rPr>
        <w:t>ReNaV</w:t>
      </w:r>
      <w:proofErr w:type="spellEnd"/>
      <w:r>
        <w:rPr>
          <w:rFonts w:ascii="Trebuchet MS" w:hAnsi="Trebuchet MS" w:cs="Trebuchet MS"/>
          <w:kern w:val="1"/>
          <w:sz w:val="20"/>
          <w:szCs w:val="20"/>
          <w:lang w:val="es-ES"/>
        </w:rPr>
        <w:t>)  de  Nivel Inicial, Primario, Secundario y Superior, de los títulos y certificados con validez nacional, y sus respectivos diseños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curriculares.</w:t>
      </w:r>
    </w:p>
    <w:p w14:paraId="6CDB0543" w14:textId="39F7095A" w:rsidR="00592F1B" w:rsidRPr="00AC3BA6" w:rsidRDefault="00592F1B" w:rsidP="00F16E12">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num>
  <w:num w:numId="2">
    <w:abstractNumId w:val="24"/>
  </w:num>
  <w:num w:numId="3">
    <w:abstractNumId w:val="21"/>
  </w:num>
  <w:num w:numId="4">
    <w:abstractNumId w:val="22"/>
  </w:num>
  <w:num w:numId="5">
    <w:abstractNumId w:val="18"/>
  </w:num>
  <w:num w:numId="6">
    <w:abstractNumId w:val="19"/>
  </w:num>
  <w:num w:numId="7">
    <w:abstractNumId w:val="19"/>
    <w:lvlOverride w:ilvl="1">
      <w:startOverride w:val="1"/>
    </w:lvlOverride>
  </w:num>
  <w:num w:numId="8">
    <w:abstractNumId w:val="19"/>
    <w:lvlOverride w:ilvl="1">
      <w:startOverride w:val="5"/>
    </w:lvlOverride>
  </w:num>
  <w:num w:numId="9">
    <w:abstractNumId w:val="19"/>
    <w:lvlOverride w:ilvl="1">
      <w:startOverride w:val="5"/>
    </w:lvlOverride>
  </w:num>
  <w:num w:numId="10">
    <w:abstractNumId w:val="23"/>
  </w:num>
  <w:num w:numId="11">
    <w:abstractNumId w:val="20"/>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F16E12"/>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2411</Words>
  <Characters>13262</Characters>
  <Application>Microsoft Macintosh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2021-05-21T21:00:00Z</dcterms:created>
  <dcterms:modified xsi:type="dcterms:W3CDTF">2021-05-21T21:00:00Z</dcterms:modified>
</cp:coreProperties>
</file>