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4B9D4" w14:textId="77777777" w:rsidR="006647D3" w:rsidRDefault="006647D3" w:rsidP="006647D3">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9B9FC2B" w14:textId="77777777" w:rsidR="006647D3" w:rsidRDefault="006647D3" w:rsidP="006647D3">
      <w:pPr>
        <w:widowControl w:val="0"/>
        <w:autoSpaceDE w:val="0"/>
        <w:autoSpaceDN w:val="0"/>
        <w:adjustRightInd w:val="0"/>
        <w:spacing w:after="0" w:line="20" w:lineRule="exact"/>
        <w:ind w:right="-1"/>
        <w:rPr>
          <w:rFonts w:ascii="Times New Roman" w:hAnsi="Times New Roman" w:cs="Times New Roman"/>
          <w:sz w:val="2"/>
          <w:szCs w:val="2"/>
          <w:lang w:val="es-ES"/>
        </w:rPr>
      </w:pPr>
    </w:p>
    <w:p w14:paraId="5F0BC4A7" w14:textId="77777777" w:rsidR="006647D3" w:rsidRDefault="006647D3" w:rsidP="006647D3">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B0BAF5F" w14:textId="77777777" w:rsidR="006647D3" w:rsidRDefault="006647D3" w:rsidP="006647D3">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DISEÑO CURRICULAR ED. TÉCNICA SUPERIOR </w:t>
      </w:r>
    </w:p>
    <w:p w14:paraId="66CF8CFC" w14:textId="3A53B856" w:rsidR="006647D3" w:rsidRDefault="006647D3" w:rsidP="006647D3">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61841C00" w14:textId="4360939C" w:rsidR="006647D3" w:rsidRDefault="006647D3" w:rsidP="006647D3">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209/13</w:t>
      </w:r>
    </w:p>
    <w:p w14:paraId="243303F8" w14:textId="77777777" w:rsidR="006647D3" w:rsidRDefault="006647D3" w:rsidP="006647D3">
      <w:pPr>
        <w:widowControl w:val="0"/>
        <w:autoSpaceDE w:val="0"/>
        <w:autoSpaceDN w:val="0"/>
        <w:adjustRightInd w:val="0"/>
        <w:spacing w:before="9"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octubre de 2013</w:t>
      </w:r>
    </w:p>
    <w:p w14:paraId="542BFE02"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lang w:val="es-ES"/>
        </w:rPr>
      </w:pPr>
    </w:p>
    <w:p w14:paraId="36BC866B"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97D7BBA" w14:textId="77777777" w:rsidR="006647D3" w:rsidRDefault="006647D3" w:rsidP="006647D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la Ley de Educación Técnico Profesional Nº 26.058, la Resolución CFE Nº 47/08 de fecha 29 de mayo de 2008 y,</w:t>
      </w:r>
    </w:p>
    <w:p w14:paraId="5E008C00" w14:textId="77777777" w:rsidR="006647D3" w:rsidRDefault="006647D3" w:rsidP="006647D3">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5607B889" w14:textId="77777777" w:rsidR="006647D3" w:rsidRDefault="006647D3" w:rsidP="006647D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013F4620" w14:textId="77777777" w:rsidR="006647D3" w:rsidRDefault="006647D3" w:rsidP="006647D3">
      <w:pPr>
        <w:widowControl w:val="0"/>
        <w:autoSpaceDE w:val="0"/>
        <w:autoSpaceDN w:val="0"/>
        <w:adjustRightInd w:val="0"/>
        <w:spacing w:before="8"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aplicación de la Resolución CFE Nº 47/08 al desarrollo de los diseños curriculares de educación técnica superior, a efectos de la homologación de títulos, ha presentado dificultades tanto por el INET como por los referentes jurisdiccionales de Educación Superior, en cuanto a la distribución porcentual y a la no determinación del porcentaje para la práctica en general.</w:t>
      </w:r>
    </w:p>
    <w:p w14:paraId="7371F1BE" w14:textId="77777777" w:rsidR="006647D3" w:rsidRDefault="006647D3" w:rsidP="006647D3">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75540819" w14:textId="77777777" w:rsidR="006647D3" w:rsidRDefault="006647D3" w:rsidP="006647D3">
      <w:pPr>
        <w:widowControl w:val="0"/>
        <w:autoSpaceDE w:val="0"/>
        <w:autoSpaceDN w:val="0"/>
        <w:adjustRightInd w:val="0"/>
        <w:spacing w:before="1" w:after="0" w:line="247" w:lineRule="auto"/>
        <w:ind w:right="-1"/>
        <w:jc w:val="both"/>
        <w:rPr>
          <w:rFonts w:ascii="Times New Roman" w:hAnsi="Times New Roman" w:cs="Times New Roman"/>
          <w:sz w:val="20"/>
          <w:szCs w:val="20"/>
          <w:lang w:val="es-ES"/>
        </w:rPr>
      </w:pPr>
    </w:p>
    <w:p w14:paraId="33C7990D"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B4745D7" w14:textId="77777777" w:rsidR="006647D3" w:rsidRDefault="006647D3" w:rsidP="006647D3">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las regulaciones específicas para las ofertas del nivel plasmadas en la resolución, carecen de la prescripción y definición suficientes para garantizar un mínimo de condiciones institucionales y curriculares para la adecuación de las prácticas formativas y de las prácticas </w:t>
      </w:r>
      <w:proofErr w:type="spellStart"/>
      <w:r>
        <w:rPr>
          <w:rFonts w:ascii="Trebuchet MS" w:hAnsi="Trebuchet MS" w:cs="Trebuchet MS"/>
          <w:sz w:val="20"/>
          <w:szCs w:val="20"/>
          <w:lang w:val="es-ES"/>
        </w:rPr>
        <w:t>profesionalizantes</w:t>
      </w:r>
      <w:proofErr w:type="spellEnd"/>
      <w:r>
        <w:rPr>
          <w:rFonts w:ascii="Trebuchet MS" w:hAnsi="Trebuchet MS" w:cs="Trebuchet MS"/>
          <w:sz w:val="20"/>
          <w:szCs w:val="20"/>
          <w:lang w:val="es-ES"/>
        </w:rPr>
        <w:t>.</w:t>
      </w:r>
    </w:p>
    <w:p w14:paraId="484F12D6" w14:textId="77777777" w:rsidR="006647D3" w:rsidRDefault="006647D3" w:rsidP="006647D3">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1C926B65" w14:textId="77777777" w:rsidR="006647D3" w:rsidRDefault="006647D3" w:rsidP="006647D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el 78° Encuentro Federal de la modalidad, oportunidad en que se reunió la Comisión Federal de ETP, se consensuó la necesidad de modificar los lineamientos curriculares e institucionales establecidos en la Resolución CFE Nº 47/08, al mismo tiempo que adelantar la modificación del párrafo 68 del anexo de la misma, a fin de viabilizar los procesos de homologación iniciados al presente.</w:t>
      </w:r>
    </w:p>
    <w:p w14:paraId="382EB864" w14:textId="77777777" w:rsidR="006647D3" w:rsidRDefault="006647D3" w:rsidP="006647D3">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73649EBB" w14:textId="77777777" w:rsidR="006647D3" w:rsidRDefault="006647D3" w:rsidP="006647D3">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presente medida se adopta con el voto afirmativo de todos los miembros de esta Asamblea Federal a excepción de las provincias de Santa Cruz y Tucumán por ausencia de sus representantes.</w:t>
      </w:r>
    </w:p>
    <w:p w14:paraId="38D39994"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lang w:val="es-ES"/>
        </w:rPr>
      </w:pPr>
    </w:p>
    <w:p w14:paraId="293EB0BF" w14:textId="77777777" w:rsidR="006647D3" w:rsidRDefault="006647D3" w:rsidP="006647D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Por ello,</w:t>
      </w:r>
    </w:p>
    <w:p w14:paraId="650F5EA9" w14:textId="77777777" w:rsidR="006647D3" w:rsidRDefault="006647D3" w:rsidP="006647D3">
      <w:pPr>
        <w:widowControl w:val="0"/>
        <w:autoSpaceDE w:val="0"/>
        <w:autoSpaceDN w:val="0"/>
        <w:adjustRightInd w:val="0"/>
        <w:spacing w:before="8"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LA 53º ASAMBLEA DEL CONSEJO FEDERAL DE EDUCACION RESUELVE:</w:t>
      </w:r>
    </w:p>
    <w:p w14:paraId="19AF59FB"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b/>
          <w:bCs/>
          <w:lang w:val="es-ES"/>
        </w:rPr>
      </w:pPr>
    </w:p>
    <w:p w14:paraId="771BAAD4" w14:textId="77777777" w:rsidR="006647D3" w:rsidRDefault="006647D3" w:rsidP="006647D3">
      <w:pPr>
        <w:widowControl w:val="0"/>
        <w:autoSpaceDE w:val="0"/>
        <w:autoSpaceDN w:val="0"/>
        <w:adjustRightInd w:val="0"/>
        <w:spacing w:before="6" w:after="0" w:line="240" w:lineRule="auto"/>
        <w:ind w:right="-1"/>
        <w:rPr>
          <w:rFonts w:ascii="Times New Roman" w:hAnsi="Times New Roman" w:cs="Times New Roman"/>
          <w:b/>
          <w:bCs/>
          <w:sz w:val="19"/>
          <w:szCs w:val="19"/>
          <w:lang w:val="es-ES"/>
        </w:rPr>
      </w:pPr>
    </w:p>
    <w:p w14:paraId="7B756D24" w14:textId="77777777" w:rsidR="006647D3" w:rsidRDefault="006647D3" w:rsidP="006647D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sz w:val="20"/>
          <w:szCs w:val="20"/>
          <w:lang w:val="es-ES"/>
        </w:rPr>
        <w:t xml:space="preserve">ARTÍCULO 1º.- </w:t>
      </w:r>
      <w:r>
        <w:rPr>
          <w:rFonts w:ascii="Trebuchet MS" w:hAnsi="Trebuchet MS" w:cs="Trebuchet MS"/>
          <w:sz w:val="20"/>
          <w:szCs w:val="20"/>
          <w:lang w:val="es-ES"/>
        </w:rPr>
        <w:t>Sustituir el párrafo 68 del anexo I de la Resolución CFE N° 47/08, por el que queda establecido en el anexo I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presente.</w:t>
      </w:r>
    </w:p>
    <w:p w14:paraId="62E8EE18" w14:textId="77777777" w:rsidR="006647D3" w:rsidRDefault="006647D3" w:rsidP="006647D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D02FDD7" w14:textId="77777777" w:rsidR="006647D3" w:rsidRDefault="006647D3" w:rsidP="006647D3">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Encomendar al INSTITUTO NACIONAL DE EDUCACIÓN TECNOLÓGICA, en acuerdo con la Comisión Federal de Educación Técnico Profesional, la elaboración, durante el 1° semestre del año 2014, de un proyecto de resolución a considerar por el CONSEJO FEDERAL DE EDUCACIÓN, que establezca criterios federales para la organización institucional y los lineamientos curriculares del nivel técnico superior de la modalidad.</w:t>
      </w:r>
    </w:p>
    <w:p w14:paraId="16D0E2E5"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69D3119" w14:textId="77777777" w:rsidR="006647D3" w:rsidRDefault="006647D3" w:rsidP="006647D3">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ARTÍCULO 3º</w:t>
      </w:r>
      <w:r>
        <w:rPr>
          <w:rFonts w:ascii="Trebuchet MS" w:hAnsi="Trebuchet MS" w:cs="Trebuchet MS"/>
          <w:kern w:val="1"/>
          <w:sz w:val="20"/>
          <w:szCs w:val="20"/>
          <w:lang w:val="es-ES"/>
        </w:rPr>
        <w:t>.- Regístrese, comuníquese, notifíquese a los integrantes del CONSEJO FEDERAL DE EDUCACION y cumplido, archívese.</w:t>
      </w:r>
    </w:p>
    <w:p w14:paraId="377177FB" w14:textId="77777777" w:rsidR="006647D3" w:rsidRDefault="006647D3" w:rsidP="006647D3">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1714A13E" w14:textId="77777777" w:rsidR="006647D3" w:rsidRDefault="006647D3" w:rsidP="006647D3">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0D7A7ED3" w14:textId="77777777" w:rsidR="006647D3" w:rsidRDefault="006647D3" w:rsidP="006647D3">
      <w:pPr>
        <w:widowControl w:val="0"/>
        <w:autoSpaceDE w:val="0"/>
        <w:autoSpaceDN w:val="0"/>
        <w:adjustRightInd w:val="0"/>
        <w:spacing w:before="9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 RESOLUCIÓN CFE Nº 209/13</w:t>
      </w:r>
    </w:p>
    <w:p w14:paraId="2F601A14"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4D5384D" w14:textId="77777777" w:rsidR="006647D3" w:rsidRDefault="006647D3" w:rsidP="006647D3">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68. </w:t>
      </w:r>
      <w:r>
        <w:rPr>
          <w:rFonts w:ascii="Trebuchet MS" w:hAnsi="Trebuchet MS" w:cs="Trebuchet MS"/>
          <w:kern w:val="1"/>
          <w:sz w:val="20"/>
          <w:szCs w:val="20"/>
          <w:lang w:val="es-ES"/>
        </w:rPr>
        <w:t>La trayectoria formativa de la educación técnico profesional en el nivel superior se caracteriza por:</w:t>
      </w:r>
    </w:p>
    <w:p w14:paraId="52DD9CF1" w14:textId="77777777" w:rsidR="006647D3" w:rsidRDefault="006647D3" w:rsidP="006647D3">
      <w:pPr>
        <w:widowControl w:val="0"/>
        <w:numPr>
          <w:ilvl w:val="0"/>
          <w:numId w:val="12"/>
        </w:numPr>
        <w:tabs>
          <w:tab w:val="left" w:pos="266"/>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los campos de la formación general, de la formación de fundamento, de la formación específica, y de las prácticas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profesionalizantes;</w:t>
      </w:r>
      <w:r>
        <w:rPr>
          <w:rFonts w:ascii="Trebuchet MS" w:hAnsi="Trebuchet MS" w:cs="Trebuchet MS"/>
          <w:kern w:val="1"/>
          <w:sz w:val="20"/>
          <w:szCs w:val="20"/>
          <w:vertAlign w:val="superscript"/>
          <w:lang w:val="es-ES"/>
        </w:rPr>
        <w:t>1</w:t>
      </w:r>
    </w:p>
    <w:p w14:paraId="1ADAA185" w14:textId="77777777" w:rsidR="006647D3" w:rsidRDefault="006647D3" w:rsidP="006647D3">
      <w:pPr>
        <w:widowControl w:val="0"/>
        <w:numPr>
          <w:ilvl w:val="0"/>
          <w:numId w:val="12"/>
        </w:numPr>
        <w:tabs>
          <w:tab w:val="left" w:pos="2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formación general, destinado a abordar los saberes que posibiliten la participación activa, reflexiva y crítica en los diversos ámbitos de la vida laboral y sociocultural y el desarrollo de una actitud ética respecto del continuo cambio tecnológico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5073283C" w14:textId="77777777" w:rsidR="006647D3" w:rsidRDefault="006647D3" w:rsidP="006647D3">
      <w:pPr>
        <w:widowControl w:val="0"/>
        <w:numPr>
          <w:ilvl w:val="0"/>
          <w:numId w:val="12"/>
        </w:numPr>
        <w:tabs>
          <w:tab w:val="left" w:pos="3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 formación de fundamento, destinado a abordar los saberes científico tecnológicos y socioculturales que otorgan sostén a los conocimientos, habilidades, destrezas, valores y actitudes propios del campo profesional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cuestión;</w:t>
      </w:r>
    </w:p>
    <w:p w14:paraId="6CDB531F" w14:textId="77777777" w:rsidR="006647D3" w:rsidRDefault="006647D3" w:rsidP="006647D3">
      <w:pPr>
        <w:widowControl w:val="0"/>
        <w:numPr>
          <w:ilvl w:val="0"/>
          <w:numId w:val="12"/>
        </w:numPr>
        <w:tabs>
          <w:tab w:val="left" w:pos="2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formación específica, dedicado a abordar los saberes propios de cada campo profesional, así como también la contextualización de los desarrollados en la formación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fundamento;</w:t>
      </w:r>
    </w:p>
    <w:p w14:paraId="3510B77C" w14:textId="77777777" w:rsidR="006647D3" w:rsidRDefault="006647D3" w:rsidP="006647D3">
      <w:pPr>
        <w:widowControl w:val="0"/>
        <w:numPr>
          <w:ilvl w:val="0"/>
          <w:numId w:val="12"/>
        </w:numPr>
        <w:tabs>
          <w:tab w:val="left" w:pos="2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campo de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destinado a posibilitar la integración y contrastación de los saberes construidos en la formación de los campos descriptos, y garantizar la articulación teoría- práctica en los procesos formativos a través del acercamiento de los estudiantes a situaciones reales de trabajo;</w:t>
      </w:r>
    </w:p>
    <w:p w14:paraId="5D5BE730" w14:textId="77777777" w:rsidR="006647D3" w:rsidRDefault="006647D3" w:rsidP="006647D3">
      <w:pPr>
        <w:widowControl w:val="0"/>
        <w:numPr>
          <w:ilvl w:val="0"/>
          <w:numId w:val="12"/>
        </w:numPr>
        <w:tabs>
          <w:tab w:val="left" w:pos="2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planes de estudio que contemplen los campos mencionados tendrán una carga horaria mínima de 1600 horas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reloj.</w:t>
      </w:r>
    </w:p>
    <w:p w14:paraId="29C0FFCB" w14:textId="77777777" w:rsidR="006647D3" w:rsidRDefault="006647D3" w:rsidP="006647D3">
      <w:pPr>
        <w:widowControl w:val="0"/>
        <w:numPr>
          <w:ilvl w:val="0"/>
          <w:numId w:val="12"/>
        </w:numPr>
        <w:tabs>
          <w:tab w:val="left" w:pos="2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Dentro de la educación superior, se establecerán cargas horarias que impliquen elevar el mínimo a 2000 horas reloj en aquellos casos en que este incremento se justifique en función de los requerimientos del campo profesional y/o de sectores profesionales cuyas actividades se encuentran reguladas por 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Estado.</w:t>
      </w:r>
    </w:p>
    <w:p w14:paraId="6C21E30A" w14:textId="77777777" w:rsidR="006647D3" w:rsidRDefault="006647D3" w:rsidP="006647D3">
      <w:pPr>
        <w:widowControl w:val="0"/>
        <w:numPr>
          <w:ilvl w:val="0"/>
          <w:numId w:val="12"/>
        </w:numPr>
        <w:tabs>
          <w:tab w:val="left" w:pos="27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B0FDDBB"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lang w:val="es-ES"/>
        </w:rPr>
      </w:pPr>
    </w:p>
    <w:p w14:paraId="5ABA4CBD" w14:textId="77777777" w:rsidR="006647D3" w:rsidRDefault="006647D3" w:rsidP="006647D3">
      <w:pPr>
        <w:widowControl w:val="0"/>
        <w:numPr>
          <w:ilvl w:val="0"/>
          <w:numId w:val="13"/>
        </w:numPr>
        <w:tabs>
          <w:tab w:val="left" w:pos="2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Las cargas horarias determinadas federalmente para la educación técnico profesional de nivel secundario serán un aspecto principal a considerar en la evaluación de las carreras de nivel</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superior.</w:t>
      </w:r>
    </w:p>
    <w:p w14:paraId="381EC79A" w14:textId="77777777" w:rsidR="006647D3" w:rsidRDefault="006647D3" w:rsidP="006647D3">
      <w:pPr>
        <w:widowControl w:val="0"/>
        <w:numPr>
          <w:ilvl w:val="0"/>
          <w:numId w:val="13"/>
        </w:numPr>
        <w:tabs>
          <w:tab w:val="left" w:pos="2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Otro aspecto que podrá tomarse como referencia para la determinación de la duración de las carreras de nivel superior técnico, es la evaluación, en cada caso, de los mínimos fijados para las carreras de grado universitarias para el mismo campo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p>
    <w:p w14:paraId="0FDC29BA" w14:textId="77777777" w:rsidR="006647D3" w:rsidRDefault="006647D3" w:rsidP="006647D3">
      <w:pPr>
        <w:widowControl w:val="0"/>
        <w:numPr>
          <w:ilvl w:val="0"/>
          <w:numId w:val="13"/>
        </w:numPr>
        <w:tabs>
          <w:tab w:val="left" w:pos="2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distribución de la carga horaria total del plan de estudios deberá ser coherente con la profesión que se pretenda abordar y contemplará los campos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mencionados.</w:t>
      </w:r>
    </w:p>
    <w:p w14:paraId="0C3982B0" w14:textId="77777777" w:rsidR="006647D3" w:rsidRDefault="006647D3" w:rsidP="006647D3">
      <w:pPr>
        <w:widowControl w:val="0"/>
        <w:numPr>
          <w:ilvl w:val="0"/>
          <w:numId w:val="13"/>
        </w:numPr>
        <w:tabs>
          <w:tab w:val="left" w:pos="2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 distribución de la carga horaria total en función de los campos formativos será: 5% para la formación general, 20% para la formación de fundamento, 45% para la formación específica, 10% para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estos porcentajes son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mínimos.</w:t>
      </w:r>
    </w:p>
    <w:p w14:paraId="155763AB" w14:textId="77777777" w:rsidR="006647D3" w:rsidRDefault="006647D3" w:rsidP="006647D3">
      <w:pPr>
        <w:widowControl w:val="0"/>
        <w:numPr>
          <w:ilvl w:val="0"/>
          <w:numId w:val="13"/>
        </w:numPr>
        <w:tabs>
          <w:tab w:val="left" w:pos="2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Respecto del 20% restante que conforma la carga horaria total de la trayectoria formativa, se establece que dicho porcentaje deberá ser distribuido de forma equilibrada entre los campos, priorizando el campo de Formación específica o el de Prácticas</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549766C5" w14:textId="77777777" w:rsidR="006647D3" w:rsidRDefault="006647D3" w:rsidP="006647D3">
      <w:pPr>
        <w:widowControl w:val="0"/>
        <w:numPr>
          <w:ilvl w:val="0"/>
          <w:numId w:val="13"/>
        </w:numPr>
        <w:tabs>
          <w:tab w:val="left" w:pos="2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su vez se establece que en cuanto al total de horas destinadas a prácticas formativas el mismo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deberá:</w:t>
      </w:r>
    </w:p>
    <w:p w14:paraId="4F4E70A0" w14:textId="77777777" w:rsidR="006647D3" w:rsidRDefault="006647D3" w:rsidP="006647D3">
      <w:pPr>
        <w:widowControl w:val="0"/>
        <w:numPr>
          <w:ilvl w:val="1"/>
          <w:numId w:val="13"/>
        </w:numPr>
        <w:tabs>
          <w:tab w:val="left" w:pos="10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Corresponder a un mínimo del 33% de la carga horaria total de los campos: formación general, formación de fundamento, y formación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específica.</w:t>
      </w:r>
    </w:p>
    <w:p w14:paraId="0F439AE5" w14:textId="77777777" w:rsidR="006647D3" w:rsidRDefault="006647D3" w:rsidP="006647D3">
      <w:pPr>
        <w:widowControl w:val="0"/>
        <w:numPr>
          <w:ilvl w:val="1"/>
          <w:numId w:val="13"/>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Hallarse distribuido de manera equilibrada en todos los años de la trayectoria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formativa.</w:t>
      </w:r>
    </w:p>
    <w:p w14:paraId="2F9A04D4"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lang w:val="es-ES"/>
        </w:rPr>
      </w:pPr>
    </w:p>
    <w:p w14:paraId="42B8175A" w14:textId="77777777" w:rsidR="006647D3" w:rsidRDefault="006647D3" w:rsidP="006647D3">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2B64A579" w14:textId="77777777" w:rsidR="006647D3" w:rsidRDefault="006647D3" w:rsidP="006647D3">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Superior Técnica - Campos de Formación – Cargas horarias mínimas</w:t>
      </w:r>
    </w:p>
    <w:p w14:paraId="4F2CDB43" w14:textId="77777777" w:rsidR="006647D3" w:rsidRDefault="006647D3" w:rsidP="006647D3">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268"/>
        <w:gridCol w:w="2700"/>
        <w:gridCol w:w="2520"/>
        <w:gridCol w:w="2516"/>
      </w:tblGrid>
      <w:tr w:rsidR="006647D3" w14:paraId="6F9386DA" w14:textId="77777777">
        <w:tblPrEx>
          <w:tblCellMar>
            <w:top w:w="0" w:type="dxa"/>
            <w:bottom w:w="0" w:type="dxa"/>
          </w:tblCellMar>
        </w:tblPrEx>
        <w:tc>
          <w:tcPr>
            <w:tcW w:w="1620" w:type="dxa"/>
            <w:vMerge w:val="restart"/>
            <w:tcBorders>
              <w:top w:val="single" w:sz="4" w:space="0" w:color="auto"/>
              <w:bottom w:val="single" w:sz="4" w:space="0" w:color="auto"/>
              <w:right w:val="single" w:sz="4" w:space="0" w:color="auto"/>
            </w:tcBorders>
            <w:tcMar>
              <w:top w:w="100" w:type="nil"/>
              <w:right w:w="100" w:type="nil"/>
            </w:tcMar>
          </w:tcPr>
          <w:p w14:paraId="06E47E0C"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b/>
                <w:bCs/>
                <w:kern w:val="1"/>
                <w:lang w:val="es-ES"/>
              </w:rPr>
            </w:pPr>
          </w:p>
          <w:p w14:paraId="06C44AA2" w14:textId="77777777" w:rsidR="006647D3" w:rsidRDefault="006647D3" w:rsidP="006647D3">
            <w:pPr>
              <w:widowControl w:val="0"/>
              <w:autoSpaceDE w:val="0"/>
              <w:autoSpaceDN w:val="0"/>
              <w:adjustRightInd w:val="0"/>
              <w:spacing w:before="1" w:after="0" w:line="240" w:lineRule="auto"/>
              <w:ind w:right="-1"/>
              <w:rPr>
                <w:rFonts w:ascii="Times New Roman" w:hAnsi="Times New Roman" w:cs="Times New Roman"/>
                <w:b/>
                <w:bCs/>
                <w:kern w:val="1"/>
                <w:sz w:val="17"/>
                <w:szCs w:val="17"/>
                <w:lang w:val="es-ES"/>
              </w:rPr>
            </w:pPr>
          </w:p>
          <w:p w14:paraId="336FEC23" w14:textId="77777777" w:rsidR="006647D3" w:rsidRDefault="006647D3" w:rsidP="006647D3">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Campos a ser considerados en el proceso de     homologación</w:t>
            </w:r>
          </w:p>
        </w:tc>
        <w:tc>
          <w:tcPr>
            <w:tcW w:w="2700" w:type="dxa"/>
            <w:tcBorders>
              <w:top w:val="single" w:sz="4" w:space="0" w:color="auto"/>
              <w:left w:val="single" w:sz="4" w:space="0" w:color="auto"/>
              <w:bottom w:val="single" w:sz="4" w:space="0" w:color="auto"/>
              <w:right w:val="single" w:sz="4" w:space="0" w:color="auto"/>
            </w:tcBorders>
            <w:shd w:val="clear" w:color="auto" w:fill="CCCCCC"/>
            <w:tcMar>
              <w:top w:w="100" w:type="nil"/>
              <w:right w:w="100" w:type="nil"/>
            </w:tcMar>
          </w:tcPr>
          <w:p w14:paraId="67C2D8E6"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Formación general</w:t>
            </w:r>
          </w:p>
          <w:p w14:paraId="3907D5C2" w14:textId="77777777" w:rsidR="006647D3" w:rsidRDefault="006647D3" w:rsidP="006647D3">
            <w:pPr>
              <w:widowControl w:val="0"/>
              <w:autoSpaceDE w:val="0"/>
              <w:autoSpaceDN w:val="0"/>
              <w:adjustRightInd w:val="0"/>
              <w:spacing w:after="0" w:line="223"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Mínimo 5%</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7CA04405" w14:textId="77777777" w:rsidR="006647D3" w:rsidRDefault="006647D3" w:rsidP="006647D3">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2B5E7E23" w14:textId="77777777" w:rsidR="006647D3" w:rsidRDefault="006647D3" w:rsidP="006647D3">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Un 33% del total dedicado a actividades prácticas formativas</w:t>
            </w:r>
          </w:p>
        </w:tc>
        <w:tc>
          <w:tcPr>
            <w:tcW w:w="2516" w:type="dxa"/>
            <w:vMerge w:val="restart"/>
            <w:tcBorders>
              <w:top w:val="single" w:sz="4" w:space="0" w:color="auto"/>
              <w:left w:val="single" w:sz="4" w:space="0" w:color="auto"/>
              <w:bottom w:val="single" w:sz="4" w:space="0" w:color="auto"/>
            </w:tcBorders>
            <w:tcMar>
              <w:top w:w="100" w:type="nil"/>
              <w:right w:w="100" w:type="nil"/>
            </w:tcMar>
          </w:tcPr>
          <w:p w14:paraId="6319C42D" w14:textId="77777777" w:rsidR="006647D3" w:rsidRDefault="006647D3" w:rsidP="006647D3">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6E87ECC7" w14:textId="77777777" w:rsidR="006647D3" w:rsidRDefault="006647D3" w:rsidP="006647D3">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Mínimo de la carga hora</w:t>
            </w:r>
            <w:bookmarkStart w:id="0" w:name="_GoBack"/>
            <w:bookmarkEnd w:id="0"/>
            <w:r>
              <w:rPr>
                <w:rFonts w:ascii="Trebuchet MS" w:hAnsi="Trebuchet MS" w:cs="Trebuchet MS"/>
                <w:b/>
                <w:bCs/>
                <w:kern w:val="1"/>
                <w:sz w:val="20"/>
                <w:szCs w:val="20"/>
                <w:lang w:val="es-ES"/>
              </w:rPr>
              <w:t>ria total de 1600 horas reloj o hasta 2000 según sector profesional y marco de referencia para la homologación</w:t>
            </w:r>
          </w:p>
        </w:tc>
      </w:tr>
      <w:tr w:rsidR="006647D3" w14:paraId="75C0AD2A" w14:textId="77777777">
        <w:tblPrEx>
          <w:tblBorders>
            <w:top w:val="none" w:sz="0" w:space="0" w:color="auto"/>
          </w:tblBorders>
          <w:tblCellMar>
            <w:top w:w="0" w:type="dxa"/>
            <w:bottom w:w="0" w:type="dxa"/>
          </w:tblCellMar>
        </w:tblPrEx>
        <w:tc>
          <w:tcPr>
            <w:tcW w:w="1620" w:type="dxa"/>
            <w:vMerge/>
            <w:tcBorders>
              <w:top w:val="single" w:sz="4" w:space="0" w:color="auto"/>
              <w:bottom w:val="single" w:sz="4" w:space="0" w:color="auto"/>
              <w:right w:val="single" w:sz="4" w:space="0" w:color="auto"/>
            </w:tcBorders>
            <w:tcMar>
              <w:top w:w="100" w:type="nil"/>
              <w:right w:w="100" w:type="nil"/>
            </w:tcMar>
          </w:tcPr>
          <w:p w14:paraId="09A93D14" w14:textId="77777777" w:rsidR="006647D3" w:rsidRDefault="006647D3" w:rsidP="006647D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CCCCCC"/>
            <w:tcMar>
              <w:top w:w="100" w:type="nil"/>
              <w:right w:w="100" w:type="nil"/>
            </w:tcMar>
          </w:tcPr>
          <w:p w14:paraId="3C98E0B0"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Formación de fundamento</w:t>
            </w:r>
          </w:p>
          <w:p w14:paraId="4FF09129"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Mínimo 20%</w:t>
            </w:r>
          </w:p>
        </w:tc>
        <w:tc>
          <w:tcPr>
            <w:tcW w:w="2520" w:type="dxa"/>
            <w:vMerge/>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5AFDA7D6" w14:textId="77777777" w:rsidR="006647D3" w:rsidRDefault="006647D3" w:rsidP="006647D3">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516" w:type="dxa"/>
            <w:vMerge/>
            <w:tcBorders>
              <w:top w:val="single" w:sz="4" w:space="0" w:color="auto"/>
              <w:left w:val="single" w:sz="4" w:space="0" w:color="auto"/>
              <w:bottom w:val="single" w:sz="4" w:space="0" w:color="auto"/>
            </w:tcBorders>
            <w:tcMar>
              <w:top w:w="100" w:type="nil"/>
              <w:right w:w="100" w:type="nil"/>
            </w:tcMar>
          </w:tcPr>
          <w:p w14:paraId="501CA3B1" w14:textId="77777777" w:rsidR="006647D3" w:rsidRDefault="006647D3" w:rsidP="006647D3">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6647D3" w14:paraId="39440860" w14:textId="77777777">
        <w:tblPrEx>
          <w:tblBorders>
            <w:top w:val="none" w:sz="0" w:space="0" w:color="auto"/>
          </w:tblBorders>
          <w:tblCellMar>
            <w:top w:w="0" w:type="dxa"/>
            <w:bottom w:w="0" w:type="dxa"/>
          </w:tblCellMar>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C02BBA"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CCCCCC"/>
            <w:tcMar>
              <w:top w:w="100" w:type="nil"/>
              <w:right w:w="100" w:type="nil"/>
            </w:tcMar>
          </w:tcPr>
          <w:p w14:paraId="165A67FF"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Formación específica</w:t>
            </w:r>
          </w:p>
          <w:p w14:paraId="25546AFE"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Mínimo 45%</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996572"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D591B8"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r>
      <w:tr w:rsidR="006647D3" w14:paraId="12FA5318" w14:textId="77777777">
        <w:tblPrEx>
          <w:tblBorders>
            <w:top w:val="none" w:sz="0" w:space="0" w:color="auto"/>
            <w:bottom w:val="single" w:sz="4" w:space="0" w:color="auto"/>
          </w:tblBorders>
          <w:tblCellMar>
            <w:top w:w="0" w:type="dxa"/>
            <w:bottom w:w="0" w:type="dxa"/>
          </w:tblCellMar>
        </w:tblPrEx>
        <w:tc>
          <w:tcPr>
            <w:tcW w:w="1620" w:type="dxa"/>
            <w:vMerge/>
            <w:tcBorders>
              <w:top w:val="single" w:sz="4" w:space="0" w:color="auto"/>
              <w:bottom w:val="single" w:sz="4" w:space="0" w:color="auto"/>
              <w:right w:val="single" w:sz="4" w:space="0" w:color="auto"/>
            </w:tcBorders>
            <w:tcMar>
              <w:top w:w="100" w:type="nil"/>
              <w:right w:w="100" w:type="nil"/>
            </w:tcMar>
          </w:tcPr>
          <w:p w14:paraId="02021E20"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700" w:type="dxa"/>
            <w:tcBorders>
              <w:top w:val="single" w:sz="4" w:space="0" w:color="auto"/>
              <w:left w:val="single" w:sz="4" w:space="0" w:color="auto"/>
              <w:bottom w:val="single" w:sz="4" w:space="0" w:color="auto"/>
              <w:right w:val="single" w:sz="4" w:space="0" w:color="auto"/>
            </w:tcBorders>
            <w:shd w:val="clear" w:color="auto" w:fill="CCCCCC"/>
            <w:tcMar>
              <w:top w:w="100" w:type="nil"/>
              <w:right w:w="100" w:type="nil"/>
            </w:tcMar>
          </w:tcPr>
          <w:p w14:paraId="264A5D89" w14:textId="77777777" w:rsidR="006647D3" w:rsidRDefault="006647D3" w:rsidP="006647D3">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Prácticas</w:t>
            </w:r>
          </w:p>
          <w:p w14:paraId="0DF3152F" w14:textId="77777777" w:rsidR="006647D3" w:rsidRDefault="006647D3" w:rsidP="006647D3">
            <w:pPr>
              <w:widowControl w:val="0"/>
              <w:autoSpaceDE w:val="0"/>
              <w:autoSpaceDN w:val="0"/>
              <w:adjustRightInd w:val="0"/>
              <w:spacing w:before="2" w:after="0" w:line="232" w:lineRule="exact"/>
              <w:ind w:right="-1"/>
              <w:jc w:val="center"/>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Mínimo 10%</w:t>
            </w:r>
          </w:p>
        </w:tc>
        <w:tc>
          <w:tcPr>
            <w:tcW w:w="2520" w:type="dxa"/>
            <w:tcBorders>
              <w:top w:val="single" w:sz="4" w:space="0" w:color="auto"/>
              <w:left w:val="single" w:sz="4" w:space="0" w:color="auto"/>
              <w:bottom w:val="single" w:sz="4" w:space="0" w:color="auto"/>
              <w:right w:val="single" w:sz="4" w:space="0" w:color="auto"/>
            </w:tcBorders>
            <w:tcMar>
              <w:top w:w="100" w:type="nil"/>
              <w:right w:w="100" w:type="nil"/>
            </w:tcMar>
          </w:tcPr>
          <w:p w14:paraId="41807056"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516" w:type="dxa"/>
            <w:vMerge/>
            <w:tcBorders>
              <w:top w:val="single" w:sz="4" w:space="0" w:color="auto"/>
              <w:left w:val="single" w:sz="4" w:space="0" w:color="auto"/>
              <w:bottom w:val="single" w:sz="4" w:space="0" w:color="auto"/>
            </w:tcBorders>
            <w:tcMar>
              <w:top w:w="100" w:type="nil"/>
              <w:right w:w="100" w:type="nil"/>
            </w:tcMar>
          </w:tcPr>
          <w:p w14:paraId="776258EC"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28526EDA"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735E55" w14:textId="77777777" w:rsidR="006647D3" w:rsidRDefault="006647D3" w:rsidP="006647D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DB0543" w14:textId="39F7095A" w:rsidR="00592F1B" w:rsidRPr="00AC3BA6" w:rsidRDefault="00592F1B" w:rsidP="006647D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647D3"/>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5218</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2021-05-17T23:10:00Z</dcterms:created>
  <dcterms:modified xsi:type="dcterms:W3CDTF">2021-05-17T23:10:00Z</dcterms:modified>
</cp:coreProperties>
</file>