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2ADEB1" w14:textId="77777777" w:rsidR="009A33CC" w:rsidRDefault="009A33CC" w:rsidP="009A33CC">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31ADFFD9" w14:textId="77777777" w:rsidR="009A33CC" w:rsidRDefault="009A33CC" w:rsidP="009A33CC">
      <w:pPr>
        <w:widowControl w:val="0"/>
        <w:autoSpaceDE w:val="0"/>
        <w:autoSpaceDN w:val="0"/>
        <w:adjustRightInd w:val="0"/>
        <w:spacing w:after="0" w:line="20" w:lineRule="exact"/>
        <w:ind w:right="-1"/>
        <w:rPr>
          <w:rFonts w:ascii="Times New Roman" w:hAnsi="Times New Roman" w:cs="Times New Roman"/>
          <w:sz w:val="2"/>
          <w:szCs w:val="2"/>
          <w:lang w:val="es-ES"/>
        </w:rPr>
      </w:pPr>
    </w:p>
    <w:p w14:paraId="7B3CEF9C" w14:textId="77777777" w:rsidR="009A33CC" w:rsidRDefault="009A33CC" w:rsidP="009A33CC">
      <w:pPr>
        <w:widowControl w:val="0"/>
        <w:autoSpaceDE w:val="0"/>
        <w:autoSpaceDN w:val="0"/>
        <w:adjustRightInd w:val="0"/>
        <w:spacing w:after="0" w:line="240" w:lineRule="auto"/>
        <w:ind w:right="-1"/>
        <w:rPr>
          <w:rFonts w:ascii="Times New Roman" w:hAnsi="Times New Roman" w:cs="Times New Roman"/>
          <w:sz w:val="20"/>
          <w:szCs w:val="20"/>
          <w:lang w:val="es-ES"/>
        </w:rPr>
      </w:pPr>
    </w:p>
    <w:p w14:paraId="6BC13452" w14:textId="77777777" w:rsidR="009A33CC" w:rsidRDefault="009A33CC" w:rsidP="009A33CC">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60BDF1A6" w14:textId="77777777" w:rsidR="009A33CC" w:rsidRDefault="009A33CC" w:rsidP="009A33CC">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MODIFICACIÓN DEL ART. 2° DE LA RESOLUCIÓN Nº 69-SG/00 (HABILITACIONES) CONJUNTAS: </w:t>
      </w:r>
    </w:p>
    <w:p w14:paraId="317C972F" w14:textId="71EC5AC6" w:rsidR="009A33CC" w:rsidRDefault="009A33CC" w:rsidP="009A33CC">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SECRETARÍA DE SEGURIDAD - SECRETARÍA DE EDUCACIÓN </w:t>
      </w:r>
    </w:p>
    <w:p w14:paraId="6E012958" w14:textId="13C0A671" w:rsidR="009A33CC" w:rsidRDefault="009A33CC" w:rsidP="009A33CC">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Nº 22 - SSEGU - SED</w:t>
      </w:r>
    </w:p>
    <w:p w14:paraId="3D9C030A" w14:textId="7AE04796" w:rsidR="009A33CC" w:rsidRDefault="009A33CC" w:rsidP="009A33CC">
      <w:pPr>
        <w:widowControl w:val="0"/>
        <w:autoSpaceDE w:val="0"/>
        <w:autoSpaceDN w:val="0"/>
        <w:adjustRightInd w:val="0"/>
        <w:spacing w:before="4" w:after="0" w:line="240" w:lineRule="auto"/>
        <w:ind w:right="-1"/>
        <w:rPr>
          <w:rFonts w:ascii="Times New Roman" w:hAnsi="Times New Roman" w:cs="Times New Roman"/>
          <w:b/>
          <w:bCs/>
          <w:sz w:val="16"/>
          <w:szCs w:val="16"/>
          <w:lang w:val="es-ES"/>
        </w:rPr>
      </w:pPr>
      <w:r>
        <w:rPr>
          <w:rFonts w:ascii="Times New Roman" w:hAnsi="Times New Roman" w:cs="Times New Roman"/>
          <w:b/>
          <w:bCs/>
          <w:noProof/>
          <w:sz w:val="7"/>
          <w:szCs w:val="7"/>
          <w:lang w:val="es-ES" w:eastAsia="es-ES"/>
        </w:rPr>
        <mc:AlternateContent>
          <mc:Choice Requires="wps">
            <w:drawing>
              <wp:anchor distT="0" distB="0" distL="0" distR="0" simplePos="0" relativeHeight="251658240" behindDoc="1" locked="0" layoutInCell="1" allowOverlap="1" wp14:editId="2F832393">
                <wp:simplePos x="0" y="0"/>
                <wp:positionH relativeFrom="page">
                  <wp:posOffset>1430655</wp:posOffset>
                </wp:positionH>
                <wp:positionV relativeFrom="paragraph">
                  <wp:posOffset>43180</wp:posOffset>
                </wp:positionV>
                <wp:extent cx="4729480" cy="189865"/>
                <wp:effectExtent l="0" t="0" r="20320" b="13335"/>
                <wp:wrapThrough wrapText="bothSides">
                  <wp:wrapPolygon edited="0">
                    <wp:start x="0" y="0"/>
                    <wp:lineTo x="0" y="20227"/>
                    <wp:lineTo x="21577" y="20227"/>
                    <wp:lineTo x="21577" y="0"/>
                    <wp:lineTo x="0"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9480" cy="189865"/>
                        </a:xfrm>
                        <a:prstGeom prst="rect">
                          <a:avLst/>
                        </a:prstGeom>
                        <a:noFill/>
                        <a:ln w="2667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2777BF" w14:textId="77777777" w:rsidR="009A33CC" w:rsidRDefault="009A33CC">
                            <w:pPr>
                              <w:spacing w:before="10"/>
                              <w:ind w:left="824" w:right="824"/>
                              <w:jc w:val="center"/>
                              <w:rPr>
                                <w:b/>
                                <w:sz w:val="19"/>
                              </w:rPr>
                            </w:pPr>
                            <w:r>
                              <w:rPr>
                                <w:b/>
                                <w:sz w:val="19"/>
                              </w:rPr>
                              <w:t>ESTA NORMA ES MODIFICADA POR LA RESOLUCIÓN Nº 179 / 2005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uadro de texto 1" o:spid="_x0000_s1026" type="#_x0000_t202" style="position:absolute;margin-left:112.65pt;margin-top:3.4pt;width:372.4pt;height:14.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" filled="f" strokeweight="2.1pt">
                <v:textbox inset="0,0,0,0">
                  <w:txbxContent>
                    <w:p w14:paraId="322777BF" w14:textId="77777777" w:rsidR="009A33CC" w:rsidRDefault="009A33CC">
                      <w:pPr>
                        <w:spacing w:before="10"/>
                        <w:ind w:left="824" w:right="824"/>
                        <w:jc w:val="center"/>
                        <w:rPr>
                          <w:b/>
                          <w:sz w:val="19"/>
                        </w:rPr>
                      </w:pPr>
                      <w:r>
                        <w:rPr>
                          <w:b/>
                          <w:sz w:val="19"/>
                        </w:rPr>
                        <w:t>ESTA NORMA ES MODIFICADA POR LA RESOLUCIÓN Nº 179 / 2005</w:t>
                      </w:r>
                    </w:p>
                  </w:txbxContent>
                </v:textbox>
                <w10:wrap type="through" anchorx="page"/>
              </v:shape>
            </w:pict>
          </mc:Fallback>
        </mc:AlternateContent>
      </w:r>
    </w:p>
    <w:p w14:paraId="252D6A08" w14:textId="4C51D835" w:rsidR="009A33CC" w:rsidRDefault="009A33CC" w:rsidP="009A33CC">
      <w:pPr>
        <w:widowControl w:val="0"/>
        <w:autoSpaceDE w:val="0"/>
        <w:autoSpaceDN w:val="0"/>
        <w:adjustRightInd w:val="0"/>
        <w:spacing w:after="0" w:line="240" w:lineRule="auto"/>
        <w:ind w:right="-1"/>
        <w:rPr>
          <w:rFonts w:ascii="Times New Roman" w:hAnsi="Times New Roman" w:cs="Times New Roman"/>
          <w:b/>
          <w:bCs/>
          <w:sz w:val="7"/>
          <w:szCs w:val="7"/>
          <w:lang w:val="es-ES"/>
        </w:rPr>
      </w:pPr>
    </w:p>
    <w:p w14:paraId="01200105" w14:textId="77777777" w:rsidR="009A33CC" w:rsidRDefault="009A33CC" w:rsidP="009A33CC">
      <w:pPr>
        <w:widowControl w:val="0"/>
        <w:autoSpaceDE w:val="0"/>
        <w:autoSpaceDN w:val="0"/>
        <w:adjustRightInd w:val="0"/>
        <w:spacing w:before="99" w:after="0" w:line="240" w:lineRule="auto"/>
        <w:ind w:right="-1"/>
        <w:jc w:val="right"/>
        <w:rPr>
          <w:rFonts w:ascii="Trebuchet MS" w:hAnsi="Trebuchet MS" w:cs="Trebuchet MS"/>
          <w:sz w:val="19"/>
          <w:szCs w:val="19"/>
          <w:lang w:val="es-ES"/>
        </w:rPr>
      </w:pPr>
    </w:p>
    <w:p w14:paraId="5A496EC0" w14:textId="77777777" w:rsidR="009A33CC" w:rsidRDefault="009A33CC" w:rsidP="009A33CC">
      <w:pPr>
        <w:widowControl w:val="0"/>
        <w:autoSpaceDE w:val="0"/>
        <w:autoSpaceDN w:val="0"/>
        <w:adjustRightInd w:val="0"/>
        <w:spacing w:before="99"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24 de febrero de 2005.</w:t>
      </w:r>
    </w:p>
    <w:p w14:paraId="4E2A9E48" w14:textId="77777777" w:rsidR="009A33CC" w:rsidRDefault="009A33CC" w:rsidP="009A33CC">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54070486" w14:textId="77777777" w:rsidR="009A33CC" w:rsidRDefault="009A33CC" w:rsidP="009A33CC">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Visto</w:t>
      </w:r>
      <w:bookmarkStart w:id="0" w:name="_GoBack"/>
      <w:bookmarkEnd w:id="0"/>
    </w:p>
    <w:p w14:paraId="2C4576C0" w14:textId="77777777" w:rsidR="009A33CC" w:rsidRDefault="009A33CC" w:rsidP="009A33CC">
      <w:pPr>
        <w:widowControl w:val="0"/>
        <w:autoSpaceDE w:val="0"/>
        <w:autoSpaceDN w:val="0"/>
        <w:adjustRightInd w:val="0"/>
        <w:spacing w:before="1" w:after="0" w:line="240" w:lineRule="auto"/>
        <w:ind w:right="-1"/>
        <w:rPr>
          <w:rFonts w:ascii="Times New Roman" w:hAnsi="Times New Roman" w:cs="Times New Roman"/>
          <w:b/>
          <w:bCs/>
          <w:sz w:val="10"/>
          <w:szCs w:val="10"/>
          <w:lang w:val="es-ES"/>
        </w:rPr>
      </w:pPr>
    </w:p>
    <w:p w14:paraId="7FE97711" w14:textId="77777777" w:rsidR="009A33CC" w:rsidRDefault="009A33CC" w:rsidP="009A33CC">
      <w:pPr>
        <w:widowControl w:val="0"/>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24.049,</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Convenio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Transferencia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Servicios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Educativos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Nacionales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entonces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Municipalidad de la Ciudad de Buenos Aires celebrado en fecha 19 de febrero de 1992, el Decreto Nº 371-PEN/64, la Ley Nº 621</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Legislatura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Actas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Complementarias</w:t>
      </w:r>
      <w:r>
        <w:rPr>
          <w:rFonts w:ascii="Trebuchet MS" w:hAnsi="Trebuchet MS" w:cs="Trebuchet MS"/>
          <w:spacing w:val="-6"/>
          <w:kern w:val="1"/>
          <w:sz w:val="19"/>
          <w:szCs w:val="19"/>
          <w:lang w:val="es-ES"/>
        </w:rPr>
        <w:t xml:space="preserve"> </w:t>
      </w:r>
      <w:proofErr w:type="spellStart"/>
      <w:r>
        <w:rPr>
          <w:rFonts w:ascii="Trebuchet MS" w:hAnsi="Trebuchet MS" w:cs="Trebuchet MS"/>
          <w:kern w:val="1"/>
          <w:sz w:val="19"/>
          <w:szCs w:val="19"/>
          <w:lang w:val="es-ES"/>
        </w:rPr>
        <w:t>Nros</w:t>
      </w:r>
      <w:proofErr w:type="spellEnd"/>
      <w:r>
        <w:rPr>
          <w:rFonts w:ascii="Trebuchet MS" w:hAnsi="Trebuchet MS" w:cs="Trebuchet MS"/>
          <w:kern w:val="1"/>
          <w:sz w:val="19"/>
          <w:szCs w:val="19"/>
          <w:lang w:val="es-ES"/>
        </w:rPr>
        <w: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3</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30</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julio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 1993, 4 del 30 de noviembre de 1993, 14 del 9 de mayo de 1996, 17 del 29 de octubre de 1999, la Resolución Nº 69-SG/00 (B.O.C.B.A. Nº 933 del 2/5/00), la Resolución Nº 115-SG/00 (B.O.C.B.A. Nº 970 del 26/6/00), el Decreto Nº 2.696-GCBA/03 y el Decreto Nº 2.720-GCBA/03,</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y;</w:t>
      </w:r>
    </w:p>
    <w:p w14:paraId="3A89C6C8" w14:textId="77777777" w:rsidR="009A33CC" w:rsidRDefault="009A33CC" w:rsidP="009A33CC">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29BA705" w14:textId="77777777" w:rsidR="009A33CC" w:rsidRDefault="009A33CC" w:rsidP="009A33CC">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p w14:paraId="386345C8" w14:textId="77777777" w:rsidR="009A33CC" w:rsidRDefault="009A33CC" w:rsidP="009A33CC">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p w14:paraId="5378D0C3" w14:textId="77777777" w:rsidR="009A33CC" w:rsidRDefault="009A33CC" w:rsidP="009A33CC">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CONSIDERANDO:</w:t>
      </w:r>
    </w:p>
    <w:p w14:paraId="5CEDB123" w14:textId="77777777" w:rsidR="009A33CC" w:rsidRDefault="009A33CC" w:rsidP="009A33CC">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25B185ED" w14:textId="77777777" w:rsidR="009A33CC" w:rsidRDefault="009A33CC" w:rsidP="009A33CC">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por Ley Nº 24.049 se facultó al Poder Ejecutivo Nacional a transferir a las provincias y a la entonces Municipalidad de la Ciudad de Buenos Aires los servicios educativos administrados en forma directa por el entonces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Ministerio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Cultura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Consejo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Técnica,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facultades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 funciones sobre establecimientos privados reconocidos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oficialmente;</w:t>
      </w:r>
    </w:p>
    <w:p w14:paraId="266B9264" w14:textId="77777777" w:rsidR="009A33CC" w:rsidRDefault="009A33CC" w:rsidP="009A33CC">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7DBD023" w14:textId="77777777" w:rsidR="009A33CC" w:rsidRDefault="009A33CC" w:rsidP="009A33CC">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traspaso aludido se efectivizó mediante el Convenio de Transferencia de Servicios Educativos Nacionales a la entonces Municipalidad de la Ciudad de Buenos Aires celebrado en fecha 19 de febrero de 1992;</w:t>
      </w:r>
    </w:p>
    <w:p w14:paraId="16CC7EF9" w14:textId="77777777" w:rsidR="009A33CC" w:rsidRDefault="009A33CC" w:rsidP="009A33CC">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E2FC909" w14:textId="77777777" w:rsidR="009A33CC" w:rsidRDefault="009A33CC" w:rsidP="009A33CC">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totalidad de los institutos objeto del convenio mencionado desarrollan sus tareas en inmuebles oportunamente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habilitados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efecto,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autoridad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cuya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jurisdicción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operaban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conformidad con lo prescrito por el Decreto Nº</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371-PEN/64;</w:t>
      </w:r>
    </w:p>
    <w:p w14:paraId="4A40290C" w14:textId="77777777" w:rsidR="009A33CC" w:rsidRDefault="009A33CC" w:rsidP="009A33CC">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A7395D7" w14:textId="77777777" w:rsidR="009A33CC" w:rsidRDefault="009A33CC" w:rsidP="009A33CC">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virtud de ello, la Resolución Nº 69-SG/00 de fecha 13 de abril de 2000, emitida por el entonces Secretario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Gobierno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publicada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Boletín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Oficial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933</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2/5/00, eximió del trámite de habilitación del local escolar, a los institutos educativos de gestión privada incorporados a la enseñanza oficial establecidos en el ámbito de la Ciudad de Buenos Aires que fueron incorporados, o que obtuvieron autorización previa para funcionar emanada de autoridad competente en jurisdicción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nacional;</w:t>
      </w:r>
    </w:p>
    <w:p w14:paraId="5F4822D5" w14:textId="77777777" w:rsidR="009A33CC" w:rsidRDefault="009A33CC" w:rsidP="009A33CC">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6D6D3B63" w14:textId="77777777" w:rsidR="009A33CC" w:rsidRDefault="009A33CC" w:rsidP="009A33CC">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disposición anterior alcanza a los establecimientos mencionados en el Anexo I a del Acta Complementaria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3</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Convenio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Transferencia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Servicios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Educativos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Nacionales,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ampliaciones 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modificaciones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edilicias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efectuadas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exigencia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proyecto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pedagógico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resolución referida;</w:t>
      </w:r>
    </w:p>
    <w:p w14:paraId="128C4864" w14:textId="77777777" w:rsidR="009A33CC" w:rsidRDefault="009A33CC" w:rsidP="009A33CC">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AC1EEE2" w14:textId="77777777" w:rsidR="009A33CC" w:rsidRDefault="009A33CC" w:rsidP="009A33CC">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resolución aludida dejó establecido que en los institutos transferidos individualizados en el art. 1°, se exigiría únicamente el libro de inspección que habilita la Dirección General de Educación de Gestión Privada dependiente de la Secretaría de Educación;</w:t>
      </w:r>
    </w:p>
    <w:p w14:paraId="6CF623AC" w14:textId="77777777" w:rsidR="009A33CC" w:rsidRDefault="009A33CC" w:rsidP="009A33CC">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9C379F1" w14:textId="77777777" w:rsidR="009A33CC" w:rsidRDefault="009A33CC" w:rsidP="009A33CC">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norma referida, también establecía que la Secretaría de Educación debía arbitrar los medios necesarios para certificar el razonable estado de cada edificio escolar comprendido en el art. 1° en aspectos como protección de barandas, escaleras, medios de salida, existencia en regla de matafuegos, cantidad de</w:t>
      </w:r>
    </w:p>
    <w:p w14:paraId="1B29E127" w14:textId="77777777" w:rsidR="009A33CC" w:rsidRDefault="009A33CC" w:rsidP="009A33CC">
      <w:pPr>
        <w:widowControl w:val="0"/>
        <w:autoSpaceDE w:val="0"/>
        <w:autoSpaceDN w:val="0"/>
        <w:adjustRightInd w:val="0"/>
        <w:spacing w:before="8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inodoros y mingitorios, ventilación e iluminación en aulas y cocinas, interruptores automáticos en cada uno de los circuitos eléctricos y planos de evacuación del edificio;</w:t>
      </w:r>
    </w:p>
    <w:p w14:paraId="30AF5D66" w14:textId="77777777" w:rsidR="009A33CC" w:rsidRDefault="009A33CC" w:rsidP="009A33CC">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29EEFCA" w14:textId="77777777" w:rsidR="009A33CC" w:rsidRDefault="009A33CC" w:rsidP="009A33CC">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Que habiéndose omitido la inclusión de la totalidad de los institutos de enseñanza privada transferidos por la </w:t>
      </w:r>
      <w:r>
        <w:rPr>
          <w:rFonts w:ascii="Trebuchet MS" w:hAnsi="Trebuchet MS" w:cs="Trebuchet MS"/>
          <w:kern w:val="1"/>
          <w:sz w:val="19"/>
          <w:szCs w:val="19"/>
          <w:lang w:val="es-ES"/>
        </w:rPr>
        <w:lastRenderedPageBreak/>
        <w:t>Nación a la Ciudad de Buenos Aires y hallándose en condiciones éstos, de ser incorporados al régimen establecido en la Resolución Nº 69-SG/00, ésta fue rectificada por Resolución Nº 115-SG/00 de fecha 5 de junio de 2000 publicada en Boletín Oficial de la Ciudad de Buenos Aires Nº 970 del 26/6/00, quedando redactado el art. 2° de la primera, de la siguiente forma: "La disposición anterior alcanza a los establecimientos mencionados en: Anexo I -enunciación limitada a los que están bajo la supervisión de la Superintendencia Nacional de Enseñanza Privada-, del Convenio de Transferencia de Servicios Educativos Nacionales a la Municipalidad de la Ciudad de Buenos Aires, del 19 de febrero de 1992; el Anexo I a, del Acta Complementaria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3</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30</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julio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1993,</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excepción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Instituto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Libre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Segunda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excluido por el art. XI del Acta Complementaria Nº 4 del 30 de noviembre de 1993; el Anexo I del Acta Complementaria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14</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9</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mayo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1996,</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Cláusula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Primera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Complementaria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17</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29</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 octubre de 1999; con sus ampliaciones y modificaciones edilicias efectuadas por exigencias de su proyecto educativo hasta el día de la</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fecha";</w:t>
      </w:r>
    </w:p>
    <w:p w14:paraId="3661FB24" w14:textId="77777777" w:rsidR="009A33CC" w:rsidRDefault="009A33CC" w:rsidP="009A33CC">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67EC56FD" w14:textId="77777777" w:rsidR="009A33CC" w:rsidRDefault="009A33CC" w:rsidP="009A33CC">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Que desde el dictado de las Resoluciones </w:t>
      </w:r>
      <w:proofErr w:type="spellStart"/>
      <w:r>
        <w:rPr>
          <w:rFonts w:ascii="Trebuchet MS" w:hAnsi="Trebuchet MS" w:cs="Trebuchet MS"/>
          <w:kern w:val="1"/>
          <w:sz w:val="19"/>
          <w:szCs w:val="19"/>
          <w:lang w:val="es-ES"/>
        </w:rPr>
        <w:t>Nros</w:t>
      </w:r>
      <w:proofErr w:type="spellEnd"/>
      <w:r>
        <w:rPr>
          <w:rFonts w:ascii="Trebuchet MS" w:hAnsi="Trebuchet MS" w:cs="Trebuchet MS"/>
          <w:kern w:val="1"/>
          <w:sz w:val="19"/>
          <w:szCs w:val="19"/>
          <w:lang w:val="es-ES"/>
        </w:rPr>
        <w:t>. 69-SG/00 y 115-SG/00, por la experiencia evidenciada, se requiere la actualización de las constancias obrantes tanto en el ámbito de la Dirección General de Habilitaciones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Permisos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dependiente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Subsecretaría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Control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Comunal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Secretaría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Seguridad, como en el ámbito de la Dirección General de Educación de Gestión Privada de la Secretaría de Educación, respecto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características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condiciones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funcionamiento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establecimientos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referidos;</w:t>
      </w:r>
    </w:p>
    <w:p w14:paraId="70D2099D" w14:textId="77777777" w:rsidR="009A33CC" w:rsidRDefault="009A33CC" w:rsidP="009A33CC">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7350982" w14:textId="77777777" w:rsidR="009A33CC" w:rsidRDefault="009A33CC" w:rsidP="009A33CC">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por ello resulta necesario implementar un sistema en la Dirección General de Educación de Gestión Privada, unidad organizativa competente en la órbita de la Secretaría de Educación que, sin apartarse del criterio original sustentado en las Resoluciones aludidas, permita conocer la real situación funcional de los establecimientos mencionados y, de esa forma, mantener el beneficio concedido oportunamente; como así también conocer el estado de aquellas instituciones que se hallan incorporadas a la enseñanza oficial y no comprendidas en el art. 2° de la Resolución Nº 69-SG/00, texto conforme art. 1° de la Resolución Nº 115- SG/00;</w:t>
      </w:r>
    </w:p>
    <w:p w14:paraId="78BABC14" w14:textId="77777777" w:rsidR="009A33CC" w:rsidRDefault="009A33CC" w:rsidP="009A33CC">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ECE5523" w14:textId="77777777" w:rsidR="009A33CC" w:rsidRDefault="009A33CC" w:rsidP="009A33CC">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consecuencia, y dado el carácter del servicio que brindan estos establecimientos, resulta imprescindible la instrumentación de un mecanismo de control periódico y adecuación reglamentaria de los establecimientos del ámbito de la Ciudad de Buenos Aires incorporados a la enseñanza oficial, lo que indudablemente redundará en la jerarquización de todo el sistema educativo de la Ciudad de Buenos Aires;</w:t>
      </w:r>
    </w:p>
    <w:p w14:paraId="3CA4DB95" w14:textId="77777777" w:rsidR="009A33CC" w:rsidRDefault="009A33CC" w:rsidP="009A33CC">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B88C1FE" w14:textId="77777777" w:rsidR="009A33CC" w:rsidRDefault="009A33CC" w:rsidP="009A33CC">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los mecanismos a implementarse siguen los preceptos fundamentales que recoge tanto la Constitución Nacional como la de la Ciudad de Buenos Aires;</w:t>
      </w:r>
    </w:p>
    <w:p w14:paraId="6886DF19" w14:textId="77777777" w:rsidR="009A33CC" w:rsidRDefault="009A33CC" w:rsidP="009A33CC">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1929BA45" w14:textId="77777777" w:rsidR="009A33CC" w:rsidRDefault="009A33CC" w:rsidP="009A33CC">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Por ello, y en uso de las competencias acordadas por los Decretos </w:t>
      </w:r>
      <w:proofErr w:type="spellStart"/>
      <w:r>
        <w:rPr>
          <w:rFonts w:ascii="Trebuchet MS" w:hAnsi="Trebuchet MS" w:cs="Trebuchet MS"/>
          <w:kern w:val="1"/>
          <w:sz w:val="19"/>
          <w:szCs w:val="19"/>
          <w:lang w:val="es-ES"/>
        </w:rPr>
        <w:t>Nros</w:t>
      </w:r>
      <w:proofErr w:type="spellEnd"/>
      <w:r>
        <w:rPr>
          <w:rFonts w:ascii="Trebuchet MS" w:hAnsi="Trebuchet MS" w:cs="Trebuchet MS"/>
          <w:kern w:val="1"/>
          <w:sz w:val="19"/>
          <w:szCs w:val="19"/>
          <w:lang w:val="es-ES"/>
        </w:rPr>
        <w:t>. 2.696-GCBA/03 y 2.720-GCBA/03,</w:t>
      </w:r>
    </w:p>
    <w:p w14:paraId="70DBAA07" w14:textId="77777777" w:rsidR="009A33CC" w:rsidRDefault="009A33CC" w:rsidP="009A33CC">
      <w:pPr>
        <w:widowControl w:val="0"/>
        <w:autoSpaceDE w:val="0"/>
        <w:autoSpaceDN w:val="0"/>
        <w:adjustRightInd w:val="0"/>
        <w:spacing w:after="0" w:line="240" w:lineRule="auto"/>
        <w:ind w:right="-1"/>
        <w:rPr>
          <w:rFonts w:ascii="Times New Roman" w:hAnsi="Times New Roman" w:cs="Times New Roman"/>
          <w:kern w:val="1"/>
          <w:lang w:val="es-ES"/>
        </w:rPr>
      </w:pPr>
    </w:p>
    <w:p w14:paraId="3616BAE4" w14:textId="77777777" w:rsidR="009A33CC" w:rsidRDefault="009A33CC" w:rsidP="009A33CC">
      <w:pPr>
        <w:widowControl w:val="0"/>
        <w:autoSpaceDE w:val="0"/>
        <w:autoSpaceDN w:val="0"/>
        <w:adjustRightInd w:val="0"/>
        <w:spacing w:before="180" w:after="0" w:line="35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SECRETARIO DE SEGURIDAD Y LA SECRETARIA DE EDUCACIÓN RESUELVEN:</w:t>
      </w:r>
    </w:p>
    <w:p w14:paraId="210C897B" w14:textId="77777777" w:rsidR="009A33CC" w:rsidRDefault="009A33CC" w:rsidP="009A33CC">
      <w:pPr>
        <w:widowControl w:val="0"/>
        <w:autoSpaceDE w:val="0"/>
        <w:autoSpaceDN w:val="0"/>
        <w:adjustRightInd w:val="0"/>
        <w:spacing w:before="1" w:after="0" w:line="240" w:lineRule="auto"/>
        <w:ind w:right="-1"/>
        <w:rPr>
          <w:rFonts w:ascii="Times New Roman" w:hAnsi="Times New Roman" w:cs="Times New Roman"/>
          <w:b/>
          <w:bCs/>
          <w:kern w:val="1"/>
          <w:sz w:val="19"/>
          <w:szCs w:val="19"/>
          <w:lang w:val="es-ES"/>
        </w:rPr>
      </w:pPr>
    </w:p>
    <w:p w14:paraId="7903068D" w14:textId="77777777" w:rsidR="009A33CC" w:rsidRDefault="009A33CC" w:rsidP="009A33CC">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 - </w:t>
      </w:r>
      <w:proofErr w:type="spellStart"/>
      <w:r>
        <w:rPr>
          <w:rFonts w:ascii="Trebuchet MS" w:hAnsi="Trebuchet MS" w:cs="Trebuchet MS"/>
          <w:kern w:val="1"/>
          <w:sz w:val="19"/>
          <w:szCs w:val="19"/>
          <w:lang w:val="es-ES"/>
        </w:rPr>
        <w:t>Modifícase</w:t>
      </w:r>
      <w:proofErr w:type="spellEnd"/>
      <w:r>
        <w:rPr>
          <w:rFonts w:ascii="Trebuchet MS" w:hAnsi="Trebuchet MS" w:cs="Trebuchet MS"/>
          <w:kern w:val="1"/>
          <w:sz w:val="19"/>
          <w:szCs w:val="19"/>
          <w:lang w:val="es-ES"/>
        </w:rPr>
        <w:t xml:space="preserve"> el art. 2° de la Resolución Nº 69-SG/00 -texto conforme art. 1° de la Resolución Nº 115-SG/00- el que quedará redactado de la siguiente forma: "La disposición anterior alcanza a los establecimientos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mencionados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Anexo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Convenio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Transferencia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Servicios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Educativos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Nacionales a la ex Municipalidad de la Ciudad de Buenos Aires del 19 de febrero de 1992 -enunciación limitada a los que estaban bajo la supervisión de la Superintendencia Nacional de Enseñanza Privada-; en el Anexo I a, del Acta Complementaria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3</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30</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julio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1993</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excepción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Instituto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Libre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Segunda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excluido por art. XI del Acta Complementaria Nº 4 del 30 de noviembre de 1993-; en el Anexo I del Acta Complementaria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14</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9</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mayo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1996;</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Cláusula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Primera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Complementaria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17</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29 de octubre de 1999, los cuales en su conjunto se detallan en el Anexo I del presente; con sus ampliaciones y modificaciones edilicias efectuadas por exigencias de sus proyectos educativos hasta el día de la fecha de la presente resolución conjunta, los que deberán en un plazo no mayor a treinta (30) días, a partir de la publicación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presentar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Gestión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Privada,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p>
    <w:p w14:paraId="041F4B62" w14:textId="77777777" w:rsidR="009A33CC" w:rsidRDefault="009A33CC" w:rsidP="009A33CC">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Declaración Jurada que como Anexo II forma parte integrante de la presente, en la que deberá detallarse la exacta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actividad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desarrollada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establecimiento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trate,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totalidad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accesos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aquél,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 superficies, plantas, titularidad, y todo otro dato que pudiera resultar imprescindible para la correcta identificación del establecimiento, como así también adjuntar el plano de ajuste de obra existente. La falta 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cumplimiento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dispuesto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previamente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provocará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pérdida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beneficio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otorgado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 Resolución Nº 69-SG/00. Tomado conocimiento la Dirección General de Educación de Gestión Privada de la realidad constructivo funcional existente en cada establecimiento, ésta remitirá las correspondientes constancias a la Dirección General de Habilitaciones y Permisos para su registro, toma de conocimiento y posterior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archivo".</w:t>
      </w:r>
    </w:p>
    <w:p w14:paraId="3F9BA154" w14:textId="77777777" w:rsidR="009A33CC" w:rsidRDefault="009A33CC" w:rsidP="009A33CC">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088EC3B" w14:textId="77777777" w:rsidR="009A33CC" w:rsidRDefault="009A33CC" w:rsidP="009A33CC">
      <w:pPr>
        <w:widowControl w:val="0"/>
        <w:autoSpaceDE w:val="0"/>
        <w:autoSpaceDN w:val="0"/>
        <w:adjustRightInd w:val="0"/>
        <w:spacing w:before="1" w:after="0" w:line="237" w:lineRule="auto"/>
        <w:ind w:right="-1"/>
        <w:jc w:val="both"/>
        <w:rPr>
          <w:rFonts w:ascii="Times New Roman" w:hAnsi="Times New Roman" w:cs="Times New Roman"/>
          <w:kern w:val="1"/>
          <w:sz w:val="19"/>
          <w:szCs w:val="19"/>
          <w:lang w:val="es-ES"/>
        </w:rPr>
      </w:pPr>
    </w:p>
    <w:p w14:paraId="2FDB6FAC" w14:textId="77777777" w:rsidR="009A33CC" w:rsidRDefault="009A33CC" w:rsidP="009A33CC">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057E3F7" w14:textId="77777777" w:rsidR="009A33CC" w:rsidRDefault="009A33CC" w:rsidP="009A33CC">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 - Las modificaciones que implicaren una alteración en los datos asentados en la Declaración Jurada a la que se refiere el art. 2° de la Resolución Nº 69-SG/00, texto conforme art. 1° de la presente, sean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éstas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implicaren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aumento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superficie,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ambientales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emplazamiento,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 xml:space="preserve">aprobadas con anterioridad a su ejecución por la autoridad de aplicación en materia constructiva y/o ambiental. La falta de cumplimiento de lo establecido en el presente dará lugar a la aplicación de las medidas que resultaren pertinentes. Toda otra modificación relacionada con las actividades desarrolladas y/o usos del establecimiento, deberán ser notificadas a la Dirección General de Educación de Gestión Privada mediante una nueva Declaración Jurada ajustada al Anexo II del presente, la cual deberá ser remitida a la Dirección General   de    Habilitaciones    y    Permisos    para    su    registro    y    toma    de    conocimiento.  Artículo 3° - </w:t>
      </w:r>
      <w:proofErr w:type="spellStart"/>
      <w:r>
        <w:rPr>
          <w:rFonts w:ascii="Trebuchet MS" w:hAnsi="Trebuchet MS" w:cs="Trebuchet MS"/>
          <w:kern w:val="1"/>
          <w:sz w:val="19"/>
          <w:szCs w:val="19"/>
          <w:lang w:val="es-ES"/>
        </w:rPr>
        <w:t>Otórgase</w:t>
      </w:r>
      <w:proofErr w:type="spellEnd"/>
      <w:r>
        <w:rPr>
          <w:rFonts w:ascii="Trebuchet MS" w:hAnsi="Trebuchet MS" w:cs="Trebuchet MS"/>
          <w:kern w:val="1"/>
          <w:sz w:val="19"/>
          <w:szCs w:val="19"/>
          <w:lang w:val="es-ES"/>
        </w:rPr>
        <w:t xml:space="preserve"> un único plazo de sesenta (60) días, a partir de la publicación de la presente, a aquellas instituciones educativas incorporadas a la enseñanza oficial y no incluidas en las Resoluciones </w:t>
      </w:r>
      <w:proofErr w:type="spellStart"/>
      <w:r>
        <w:rPr>
          <w:rFonts w:ascii="Trebuchet MS" w:hAnsi="Trebuchet MS" w:cs="Trebuchet MS"/>
          <w:kern w:val="1"/>
          <w:sz w:val="19"/>
          <w:szCs w:val="19"/>
          <w:lang w:val="es-ES"/>
        </w:rPr>
        <w:t>Nros</w:t>
      </w:r>
      <w:proofErr w:type="spellEnd"/>
      <w:r>
        <w:rPr>
          <w:rFonts w:ascii="Trebuchet MS" w:hAnsi="Trebuchet MS" w:cs="Trebuchet MS"/>
          <w:kern w:val="1"/>
          <w:sz w:val="19"/>
          <w:szCs w:val="19"/>
          <w:lang w:val="es-ES"/>
        </w:rPr>
        <w:t>. 69-SG/00 y 115-SG/00, como así también a las instituciones educativas asistenciales preexistentes a la sanción de la Ley Nº 621 de la Legislatura de la Ciudad de Buenos Aires, que hubieran iniciado trámite de habilitación sin haberlo culminado, para adecuar sus establecimientos a la normativa vigente aplicable en materia de habilitaciones, plazo durante el cual se les eximirá, por única vez, del cumplimiento total de los requisitos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reglamentarios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contemplados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Ordenanza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33.266,</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2.516-GCBA/98</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Código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 Edificación, exigiéndose condiciones mínimas de funcionamiento y el cumplimiento de los siguientes recaudos: resultar un uso conforme en el distrito en el que se emplaza; poseer medios de salidas reglamentarios; contar con un sistema de prevención contra incendios de acuerdo a lo establecido en el capítulo 4.12 del Código de la Edificación; y poseer ventilación natural en las aulas, salas de juegos, y cualquier otro local destinado a la permanencia de</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alumnos.</w:t>
      </w:r>
    </w:p>
    <w:p w14:paraId="16D14357" w14:textId="77777777" w:rsidR="009A33CC" w:rsidRDefault="009A33CC" w:rsidP="009A33CC">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75111474" w14:textId="77777777" w:rsidR="009A33CC" w:rsidRDefault="009A33CC" w:rsidP="009A33CC">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4° - </w:t>
      </w:r>
      <w:proofErr w:type="spellStart"/>
      <w:r>
        <w:rPr>
          <w:rFonts w:ascii="Trebuchet MS" w:hAnsi="Trebuchet MS" w:cs="Trebuchet MS"/>
          <w:kern w:val="1"/>
          <w:sz w:val="19"/>
          <w:szCs w:val="19"/>
          <w:lang w:val="es-ES"/>
        </w:rPr>
        <w:t>Acuérdase</w:t>
      </w:r>
      <w:proofErr w:type="spellEnd"/>
      <w:r>
        <w:rPr>
          <w:rFonts w:ascii="Trebuchet MS" w:hAnsi="Trebuchet MS" w:cs="Trebuchet MS"/>
          <w:kern w:val="1"/>
          <w:sz w:val="19"/>
          <w:szCs w:val="19"/>
          <w:lang w:val="es-ES"/>
        </w:rPr>
        <w:t xml:space="preserve"> que la certificación sobre el correcto estado de los extremos enunciados en el artículo 4° de la Resolución Nº 69-SG/00, será ejercida por la Dirección General de Habilitaciones y Permisos dependiente de la Subsecretaría de Control Comunal de la Secretaría de</w:t>
      </w:r>
      <w:r>
        <w:rPr>
          <w:rFonts w:ascii="Trebuchet MS" w:hAnsi="Trebuchet MS" w:cs="Trebuchet MS"/>
          <w:spacing w:val="-34"/>
          <w:kern w:val="1"/>
          <w:sz w:val="19"/>
          <w:szCs w:val="19"/>
          <w:lang w:val="es-ES"/>
        </w:rPr>
        <w:t xml:space="preserve"> </w:t>
      </w:r>
      <w:r>
        <w:rPr>
          <w:rFonts w:ascii="Trebuchet MS" w:hAnsi="Trebuchet MS" w:cs="Trebuchet MS"/>
          <w:kern w:val="1"/>
          <w:sz w:val="19"/>
          <w:szCs w:val="19"/>
          <w:lang w:val="es-ES"/>
        </w:rPr>
        <w:t>Seguridad.</w:t>
      </w:r>
    </w:p>
    <w:p w14:paraId="2B4A9AA8" w14:textId="77777777" w:rsidR="009A33CC" w:rsidRDefault="009A33CC" w:rsidP="009A33CC">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81BE3E3" w14:textId="77777777" w:rsidR="009A33CC" w:rsidRDefault="009A33CC" w:rsidP="009A33CC">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 - Regístrese. Publíquese en el Boletín Oficial de la Ciudad de Buenos Aires. Pase para su conocimiento a las Direcciones Generales de Educación de Gestión Privada, de Habilitaciones y Permisos, de Fiscalización de Obras y Catastro y de Fiscalización y Control. Cumplido,</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archívese.</w:t>
      </w:r>
    </w:p>
    <w:p w14:paraId="110278E6" w14:textId="77777777" w:rsidR="009A33CC" w:rsidRDefault="009A33CC" w:rsidP="009A33CC">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6E4C594" w14:textId="77777777" w:rsidR="009A33CC" w:rsidRDefault="009A33CC" w:rsidP="009A33CC">
      <w:pPr>
        <w:widowControl w:val="0"/>
        <w:autoSpaceDE w:val="0"/>
        <w:autoSpaceDN w:val="0"/>
        <w:adjustRightInd w:val="0"/>
        <w:spacing w:after="0" w:line="240" w:lineRule="auto"/>
        <w:ind w:right="-1"/>
        <w:jc w:val="right"/>
        <w:rPr>
          <w:rFonts w:ascii="Trebuchet MS" w:hAnsi="Trebuchet MS" w:cs="Trebuchet MS"/>
          <w:b/>
          <w:bCs/>
          <w:kern w:val="1"/>
          <w:sz w:val="15"/>
          <w:szCs w:val="15"/>
          <w:lang w:val="es-ES"/>
        </w:rPr>
      </w:pPr>
      <w:r>
        <w:rPr>
          <w:rFonts w:ascii="Trebuchet MS" w:hAnsi="Trebuchet MS" w:cs="Trebuchet MS"/>
          <w:b/>
          <w:bCs/>
          <w:kern w:val="1"/>
          <w:sz w:val="15"/>
          <w:szCs w:val="15"/>
          <w:lang w:val="es-ES"/>
        </w:rPr>
        <w:t xml:space="preserve">Álvarez – </w:t>
      </w:r>
      <w:proofErr w:type="spellStart"/>
      <w:r>
        <w:rPr>
          <w:rFonts w:ascii="Trebuchet MS" w:hAnsi="Trebuchet MS" w:cs="Trebuchet MS"/>
          <w:b/>
          <w:bCs/>
          <w:kern w:val="1"/>
          <w:sz w:val="15"/>
          <w:szCs w:val="15"/>
          <w:lang w:val="es-ES"/>
        </w:rPr>
        <w:t>Perazza</w:t>
      </w:r>
      <w:proofErr w:type="spellEnd"/>
    </w:p>
    <w:p w14:paraId="6CDB0543" w14:textId="39F7095A" w:rsidR="00592F1B" w:rsidRPr="00AC3BA6" w:rsidRDefault="00592F1B" w:rsidP="009A33CC">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9A33CC"/>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1754</Words>
  <Characters>9650</Characters>
  <Application>Microsoft Macintosh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2021-05-26T12:15:00Z</dcterms:created>
  <dcterms:modified xsi:type="dcterms:W3CDTF">2021-05-26T12:15:00Z</dcterms:modified>
</cp:coreProperties>
</file>