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1AD6E" w14:textId="77777777" w:rsidR="00914BD8" w:rsidRDefault="00914BD8" w:rsidP="00914BD8">
      <w:pPr>
        <w:widowControl w:val="0"/>
        <w:autoSpaceDE w:val="0"/>
        <w:autoSpaceDN w:val="0"/>
        <w:adjustRightInd w:val="0"/>
        <w:spacing w:after="0" w:line="240" w:lineRule="auto"/>
        <w:ind w:right="-1"/>
        <w:rPr>
          <w:rFonts w:ascii="Times New Roman" w:hAnsi="Times New Roman" w:cs="Times New Roman"/>
          <w:sz w:val="20"/>
          <w:szCs w:val="20"/>
          <w:lang w:val="es-ES"/>
        </w:rPr>
      </w:pPr>
      <w:bookmarkStart w:id="0" w:name="_GoBack"/>
      <w:bookmarkEnd w:id="0"/>
    </w:p>
    <w:p w14:paraId="7AA72C19" w14:textId="77777777" w:rsidR="00914BD8" w:rsidRDefault="00914BD8" w:rsidP="00914BD8">
      <w:pPr>
        <w:widowControl w:val="0"/>
        <w:autoSpaceDE w:val="0"/>
        <w:autoSpaceDN w:val="0"/>
        <w:adjustRightInd w:val="0"/>
        <w:spacing w:before="8" w:after="0" w:line="240" w:lineRule="auto"/>
        <w:ind w:right="-1"/>
        <w:rPr>
          <w:rFonts w:ascii="Times New Roman" w:hAnsi="Times New Roman" w:cs="Times New Roman"/>
          <w:sz w:val="20"/>
          <w:szCs w:val="20"/>
          <w:lang w:val="es-ES"/>
        </w:rPr>
      </w:pPr>
    </w:p>
    <w:p w14:paraId="0F3148F3" w14:textId="77777777" w:rsidR="00914BD8" w:rsidRDefault="00914BD8" w:rsidP="00914BD8">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IMPLEMENTACIÓN DE UN REGISTRO DE CBU -CLAVES BANCARIAS UNIFORMES- </w:t>
      </w:r>
    </w:p>
    <w:p w14:paraId="7A53C4CC" w14:textId="70C85603" w:rsidR="00914BD8" w:rsidRDefault="00914BD8" w:rsidP="00914BD8">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ADMINISTRACIÓN FEDERAL DE INGRESOS PÚBLICOS</w:t>
      </w:r>
    </w:p>
    <w:p w14:paraId="7AB1C0EA" w14:textId="77777777" w:rsidR="00914BD8" w:rsidRDefault="00914BD8" w:rsidP="00914BD8">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RESOLUCIÓN GENERAL 2675</w:t>
      </w:r>
    </w:p>
    <w:p w14:paraId="1042C620" w14:textId="77777777" w:rsidR="00914BD8" w:rsidRDefault="00914BD8" w:rsidP="00914BD8">
      <w:pPr>
        <w:widowControl w:val="0"/>
        <w:autoSpaceDE w:val="0"/>
        <w:autoSpaceDN w:val="0"/>
        <w:adjustRightInd w:val="0"/>
        <w:spacing w:after="0" w:line="240" w:lineRule="auto"/>
        <w:ind w:right="-1"/>
        <w:rPr>
          <w:rFonts w:ascii="Times New Roman" w:hAnsi="Times New Roman" w:cs="Times New Roman"/>
          <w:b/>
          <w:bCs/>
          <w:sz w:val="29"/>
          <w:szCs w:val="29"/>
          <w:lang w:val="es-ES"/>
        </w:rPr>
      </w:pPr>
    </w:p>
    <w:p w14:paraId="6CB76980" w14:textId="77777777" w:rsidR="00914BD8" w:rsidRDefault="00914BD8" w:rsidP="00914BD8">
      <w:pPr>
        <w:widowControl w:val="0"/>
        <w:autoSpaceDE w:val="0"/>
        <w:autoSpaceDN w:val="0"/>
        <w:adjustRightInd w:val="0"/>
        <w:spacing w:before="99" w:after="0" w:line="219" w:lineRule="exact"/>
        <w:ind w:right="-1"/>
        <w:jc w:val="right"/>
        <w:rPr>
          <w:rFonts w:ascii="Trebuchet MS" w:hAnsi="Trebuchet MS" w:cs="Trebuchet MS"/>
          <w:sz w:val="19"/>
          <w:szCs w:val="19"/>
          <w:lang w:val="es-ES"/>
        </w:rPr>
      </w:pPr>
      <w:r>
        <w:rPr>
          <w:rFonts w:ascii="Trebuchet MS" w:hAnsi="Trebuchet MS" w:cs="Trebuchet MS"/>
          <w:sz w:val="19"/>
          <w:szCs w:val="19"/>
          <w:lang w:val="es-ES"/>
        </w:rPr>
        <w:t>Buenos Aires, 9 de septiembre de 2009</w:t>
      </w:r>
    </w:p>
    <w:p w14:paraId="509892B9" w14:textId="77777777" w:rsidR="00914BD8" w:rsidRDefault="00914BD8" w:rsidP="00914BD8">
      <w:pPr>
        <w:widowControl w:val="0"/>
        <w:autoSpaceDE w:val="0"/>
        <w:autoSpaceDN w:val="0"/>
        <w:adjustRightInd w:val="0"/>
        <w:spacing w:after="0" w:line="219" w:lineRule="exact"/>
        <w:ind w:right="-1"/>
        <w:rPr>
          <w:rFonts w:ascii="Trebuchet MS" w:hAnsi="Trebuchet MS" w:cs="Trebuchet MS"/>
          <w:b/>
          <w:bCs/>
          <w:sz w:val="19"/>
          <w:szCs w:val="19"/>
          <w:lang w:val="es-ES"/>
        </w:rPr>
      </w:pPr>
    </w:p>
    <w:p w14:paraId="53575653" w14:textId="77777777" w:rsidR="00914BD8" w:rsidRDefault="00914BD8" w:rsidP="00914BD8">
      <w:pPr>
        <w:widowControl w:val="0"/>
        <w:autoSpaceDE w:val="0"/>
        <w:autoSpaceDN w:val="0"/>
        <w:adjustRightInd w:val="0"/>
        <w:spacing w:after="0" w:line="219" w:lineRule="exact"/>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4923631E" w14:textId="77777777" w:rsidR="00914BD8" w:rsidRDefault="00914BD8" w:rsidP="00914BD8">
      <w:pPr>
        <w:widowControl w:val="0"/>
        <w:autoSpaceDE w:val="0"/>
        <w:autoSpaceDN w:val="0"/>
        <w:adjustRightInd w:val="0"/>
        <w:spacing w:before="99" w:after="0" w:line="240" w:lineRule="auto"/>
        <w:ind w:right="-1"/>
        <w:rPr>
          <w:rFonts w:ascii="Trebuchet MS" w:hAnsi="Trebuchet MS" w:cs="Trebuchet MS"/>
          <w:sz w:val="19"/>
          <w:szCs w:val="19"/>
          <w:lang w:val="es-ES"/>
        </w:rPr>
      </w:pPr>
      <w:r>
        <w:rPr>
          <w:rFonts w:ascii="Trebuchet MS" w:hAnsi="Trebuchet MS" w:cs="Trebuchet MS"/>
          <w:sz w:val="19"/>
          <w:szCs w:val="19"/>
          <w:lang w:val="es-ES"/>
        </w:rPr>
        <w:t>La actuación (SIGEA) 13325-36-2009 del Registro de esta Administración Federal, y</w:t>
      </w:r>
    </w:p>
    <w:p w14:paraId="6D9E48FE" w14:textId="77777777" w:rsidR="00914BD8" w:rsidRDefault="00914BD8" w:rsidP="00914BD8">
      <w:pPr>
        <w:widowControl w:val="0"/>
        <w:autoSpaceDE w:val="0"/>
        <w:autoSpaceDN w:val="0"/>
        <w:adjustRightInd w:val="0"/>
        <w:spacing w:before="7" w:after="0" w:line="240" w:lineRule="auto"/>
        <w:ind w:right="-1"/>
        <w:rPr>
          <w:rFonts w:ascii="Times New Roman" w:hAnsi="Times New Roman" w:cs="Times New Roman"/>
          <w:sz w:val="18"/>
          <w:szCs w:val="18"/>
          <w:lang w:val="es-ES"/>
        </w:rPr>
      </w:pPr>
    </w:p>
    <w:p w14:paraId="6C6322F8" w14:textId="77777777" w:rsidR="00914BD8" w:rsidRDefault="00914BD8" w:rsidP="00914BD8">
      <w:pPr>
        <w:widowControl w:val="0"/>
        <w:autoSpaceDE w:val="0"/>
        <w:autoSpaceDN w:val="0"/>
        <w:adjustRightInd w:val="0"/>
        <w:spacing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CONSIDERANDO:</w:t>
      </w:r>
    </w:p>
    <w:p w14:paraId="3241771C" w14:textId="77777777" w:rsidR="00914BD8" w:rsidRDefault="00914BD8" w:rsidP="00914BD8">
      <w:pPr>
        <w:widowControl w:val="0"/>
        <w:autoSpaceDE w:val="0"/>
        <w:autoSpaceDN w:val="0"/>
        <w:adjustRightInd w:val="0"/>
        <w:spacing w:before="9" w:after="0" w:line="240" w:lineRule="auto"/>
        <w:ind w:right="-1"/>
        <w:rPr>
          <w:rFonts w:ascii="Times New Roman" w:hAnsi="Times New Roman" w:cs="Times New Roman"/>
          <w:b/>
          <w:bCs/>
          <w:sz w:val="18"/>
          <w:szCs w:val="18"/>
          <w:lang w:val="es-ES"/>
        </w:rPr>
      </w:pPr>
    </w:p>
    <w:p w14:paraId="1483401F" w14:textId="77777777" w:rsidR="00914BD8" w:rsidRDefault="00914BD8" w:rsidP="00914B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Que con el objeto de agilizar la acreditación en cuenta de los montos correspondientes a liquidaciones impositivas, aduaneras y de los recursos de la seguridad social por devoluciones, reintegros, reembolsos y demás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pagos,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Organismo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estableció</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sistema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pago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transferencias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bancarias</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través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 Clave Bancaria Uniforme (CBU) declarada por el contribuyente y/o administrado, solución ésta que redujo considerablemente el tiempo insumido para la puesta a disposición de tales</w:t>
      </w:r>
      <w:r>
        <w:rPr>
          <w:rFonts w:ascii="Trebuchet MS" w:hAnsi="Trebuchet MS" w:cs="Trebuchet MS"/>
          <w:spacing w:val="-28"/>
          <w:kern w:val="1"/>
          <w:sz w:val="19"/>
          <w:szCs w:val="19"/>
          <w:lang w:val="es-ES"/>
        </w:rPr>
        <w:t xml:space="preserve"> </w:t>
      </w:r>
      <w:r>
        <w:rPr>
          <w:rFonts w:ascii="Trebuchet MS" w:hAnsi="Trebuchet MS" w:cs="Trebuchet MS"/>
          <w:kern w:val="1"/>
          <w:sz w:val="19"/>
          <w:szCs w:val="19"/>
          <w:lang w:val="es-ES"/>
        </w:rPr>
        <w:t>sumas.</w:t>
      </w:r>
    </w:p>
    <w:p w14:paraId="0A3F9BAA" w14:textId="77777777" w:rsidR="00914BD8" w:rsidRDefault="00914BD8" w:rsidP="00914BD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79261732" w14:textId="77777777" w:rsidR="00914BD8" w:rsidRDefault="00914BD8" w:rsidP="00914B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sobre la base de la experiencia recogida y a fin de ampliar y unificar la aludida modalidad de pago, resulta aconsejable habilitar su utilización a todos los regímenes de restitución de fondos y disponer la creación del “REGISTRO DE CLAVES BANCARIAS UNIFORMES”, al que se podrá acceder a través del servicio disponible en el sitio “web” institucional.</w:t>
      </w:r>
    </w:p>
    <w:p w14:paraId="4554DB64" w14:textId="77777777" w:rsidR="00914BD8" w:rsidRDefault="00914BD8" w:rsidP="00914BD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371597A" w14:textId="77777777" w:rsidR="00914BD8" w:rsidRDefault="00914BD8" w:rsidP="00914B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asimismo, se estima oportuno extender el mencionado procedimiento de cancelación a través de transferencia bancaria mediante Clave Bancaria Uniforme (CBU), a los pagos a cesionarios que resulten destinatarios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créditos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cedidos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conforme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Código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Civil,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contribuyentes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administrados acreedores originarios de los fondos a</w:t>
      </w:r>
      <w:r>
        <w:rPr>
          <w:rFonts w:ascii="Trebuchet MS" w:hAnsi="Trebuchet MS" w:cs="Trebuchet MS"/>
          <w:spacing w:val="-11"/>
          <w:kern w:val="1"/>
          <w:sz w:val="19"/>
          <w:szCs w:val="19"/>
          <w:lang w:val="es-ES"/>
        </w:rPr>
        <w:t xml:space="preserve"> </w:t>
      </w:r>
      <w:r>
        <w:rPr>
          <w:rFonts w:ascii="Trebuchet MS" w:hAnsi="Trebuchet MS" w:cs="Trebuchet MS"/>
          <w:kern w:val="1"/>
          <w:sz w:val="19"/>
          <w:szCs w:val="19"/>
          <w:lang w:val="es-ES"/>
        </w:rPr>
        <w:t>restituir.</w:t>
      </w:r>
    </w:p>
    <w:p w14:paraId="0E828879" w14:textId="77777777" w:rsidR="00914BD8" w:rsidRDefault="00914BD8" w:rsidP="00914BD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0BA33B1" w14:textId="77777777" w:rsidR="00914BD8" w:rsidRDefault="00914BD8" w:rsidP="00914BD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han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tomado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intervención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compete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Dirección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Legislación,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Subdirecciones</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Generales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 Asuntos Jurídicos, de Administración Financiera, de Fiscalización, de Recaudación, de Servicios al Contribuyente y de Sistemas y Telecomunicaciones y las Direcciones Generales Impositiva, de Aduanas y de los Recursos de la Seguridad</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Social.</w:t>
      </w:r>
    </w:p>
    <w:p w14:paraId="425DEDCF" w14:textId="77777777" w:rsidR="00914BD8" w:rsidRDefault="00914BD8" w:rsidP="00914BD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2878F63E" w14:textId="77777777" w:rsidR="00914BD8" w:rsidRDefault="00914BD8" w:rsidP="00914BD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ejercicio de las facultades conferidas por el artículo 7 del decreto 618 del 10 de julio de 1997, sus modificatorios y sus complementarios.</w:t>
      </w:r>
    </w:p>
    <w:p w14:paraId="438B6C69" w14:textId="77777777" w:rsidR="00914BD8" w:rsidRDefault="00914BD8" w:rsidP="00914BD8">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56CAC159" w14:textId="77777777" w:rsidR="00914BD8" w:rsidRDefault="00914BD8" w:rsidP="00914BD8">
      <w:pPr>
        <w:widowControl w:val="0"/>
        <w:autoSpaceDE w:val="0"/>
        <w:autoSpaceDN w:val="0"/>
        <w:adjustRightInd w:val="0"/>
        <w:spacing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3B685EEE" w14:textId="77777777" w:rsidR="00914BD8" w:rsidRDefault="00914BD8" w:rsidP="00914BD8">
      <w:pPr>
        <w:widowControl w:val="0"/>
        <w:autoSpaceDE w:val="0"/>
        <w:autoSpaceDN w:val="0"/>
        <w:adjustRightInd w:val="0"/>
        <w:spacing w:before="2" w:after="0" w:line="240" w:lineRule="auto"/>
        <w:ind w:right="-1"/>
        <w:rPr>
          <w:rFonts w:ascii="Times New Roman" w:hAnsi="Times New Roman" w:cs="Times New Roman"/>
          <w:kern w:val="1"/>
          <w:sz w:val="10"/>
          <w:szCs w:val="10"/>
          <w:lang w:val="es-ES"/>
        </w:rPr>
      </w:pPr>
    </w:p>
    <w:p w14:paraId="2E0EA402" w14:textId="77777777" w:rsidR="00914BD8" w:rsidRDefault="00914BD8" w:rsidP="00914BD8">
      <w:pPr>
        <w:widowControl w:val="0"/>
        <w:autoSpaceDE w:val="0"/>
        <w:autoSpaceDN w:val="0"/>
        <w:adjustRightInd w:val="0"/>
        <w:spacing w:before="100" w:after="0" w:line="237"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EL ADMINISTRADOR FEDERAL DE LA ADMINISTRACIÓN FEDERAL DE INGRESOS PÚBLICOS RESUELVE:</w:t>
      </w:r>
    </w:p>
    <w:p w14:paraId="02B6A883" w14:textId="77777777" w:rsidR="00914BD8" w:rsidRDefault="00914BD8" w:rsidP="00914BD8">
      <w:pPr>
        <w:widowControl w:val="0"/>
        <w:autoSpaceDE w:val="0"/>
        <w:autoSpaceDN w:val="0"/>
        <w:adjustRightInd w:val="0"/>
        <w:spacing w:before="8" w:after="0" w:line="240" w:lineRule="auto"/>
        <w:ind w:right="-1"/>
        <w:rPr>
          <w:rFonts w:ascii="Times New Roman" w:hAnsi="Times New Roman" w:cs="Times New Roman"/>
          <w:b/>
          <w:bCs/>
          <w:kern w:val="1"/>
          <w:sz w:val="18"/>
          <w:szCs w:val="18"/>
          <w:lang w:val="es-ES"/>
        </w:rPr>
      </w:pPr>
    </w:p>
    <w:p w14:paraId="346B5D84" w14:textId="77777777" w:rsidR="00914BD8" w:rsidRDefault="00914BD8" w:rsidP="00914BD8">
      <w:pPr>
        <w:widowControl w:val="0"/>
        <w:autoSpaceDE w:val="0"/>
        <w:autoSpaceDN w:val="0"/>
        <w:adjustRightInd w:val="0"/>
        <w:spacing w:after="0" w:line="240" w:lineRule="auto"/>
        <w:ind w:right="-1"/>
        <w:jc w:val="both"/>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A - REGISTRO DE CLAVES BANCARIAS UNIFORMES</w:t>
      </w:r>
    </w:p>
    <w:p w14:paraId="15EF6614" w14:textId="77777777" w:rsidR="00914BD8" w:rsidRDefault="00914BD8" w:rsidP="00914BD8">
      <w:pPr>
        <w:widowControl w:val="0"/>
        <w:autoSpaceDE w:val="0"/>
        <w:autoSpaceDN w:val="0"/>
        <w:adjustRightInd w:val="0"/>
        <w:spacing w:before="7" w:after="0" w:line="240" w:lineRule="auto"/>
        <w:ind w:right="-1"/>
        <w:rPr>
          <w:rFonts w:ascii="Times New Roman" w:hAnsi="Times New Roman" w:cs="Times New Roman"/>
          <w:b/>
          <w:bCs/>
          <w:kern w:val="1"/>
          <w:sz w:val="18"/>
          <w:szCs w:val="18"/>
          <w:lang w:val="es-ES"/>
        </w:rPr>
      </w:pPr>
    </w:p>
    <w:p w14:paraId="1C2BBE92" w14:textId="77777777" w:rsidR="00914BD8" w:rsidRDefault="00914BD8" w:rsidP="00914BD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1 - Créase el “REGISTRO DE CLAVES BANCARIAS UNIFORMES” denominado en adelante el “Registro”.</w:t>
      </w:r>
    </w:p>
    <w:p w14:paraId="553AAE72" w14:textId="77777777" w:rsidR="00914BD8" w:rsidRDefault="00914BD8" w:rsidP="00914BD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7432939" w14:textId="77777777" w:rsidR="00914BD8" w:rsidRDefault="00914BD8" w:rsidP="00914B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 Todos los pagos que deba realizar esta Administración Federal, en concepto de devoluciones, reintegros, reembolsos y demás regímenes de restitución de fondos a contribuyentes, responsables y administrados, así como a cesionarios que resulten destinatarios de créditos cedidos conforme al Código Civil por parte de los contribuyentes y demás responsables acreedores originarios de los fondos a restituir, se efectuarán mediante transferencia bancaria a través del Banco de la Nación Argentina, en la cuenta cuya Clave Bancaria Uniforme (CBU) fuera declarada por los mismos en el “Registro”.</w:t>
      </w:r>
    </w:p>
    <w:p w14:paraId="7691596E" w14:textId="77777777" w:rsidR="00914BD8" w:rsidRDefault="00914BD8" w:rsidP="00914BD8">
      <w:pPr>
        <w:widowControl w:val="0"/>
        <w:autoSpaceDE w:val="0"/>
        <w:autoSpaceDN w:val="0"/>
        <w:adjustRightInd w:val="0"/>
        <w:spacing w:before="9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Asimismo, resultarán alcanzados por las disposiciones de esta resolución general los pagos que realice este Organismo en concepto de los créditos otorgados a los contribuyentes por entidades bancarias conforme al régimen de la ley 24402 y su modificatoria.</w:t>
      </w:r>
    </w:p>
    <w:p w14:paraId="4120B61D" w14:textId="77777777" w:rsidR="00914BD8" w:rsidRDefault="00914BD8" w:rsidP="00914BD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los efectos indicados en los párrafos anteriores, los sujetos mencionados deberán declarar ante esta Administración Federal, una Clave Bancaria Uniforme (CBU) de acuerdo con lo establecido en la presente, como requisito previo imprescindible para el cobro de sus acreencias.</w:t>
      </w:r>
    </w:p>
    <w:p w14:paraId="1EF758C5" w14:textId="77777777" w:rsidR="00914BD8" w:rsidRDefault="00914BD8" w:rsidP="00914BD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2153611" w14:textId="77777777" w:rsidR="00914BD8" w:rsidRDefault="00914BD8" w:rsidP="00914BD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3 - La Clave Bancaria Uniforme (CBU) declarada deberá corresponder a una cuenta en pesos de titularidad del acreedor del pago, habilitada en una entidad bancaria autorizada por el Banco Central de la República Argentina.</w:t>
      </w:r>
    </w:p>
    <w:p w14:paraId="52C7DC01" w14:textId="77777777" w:rsidR="00914BD8" w:rsidRDefault="00914BD8" w:rsidP="00914BD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584FE42F" w14:textId="77777777" w:rsidR="00914BD8" w:rsidRDefault="00914BD8" w:rsidP="00914B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 El procedimiento de pago a través de Clave Bancaria Uniforme (CBU) establecido en esta resolución general, no resultará de aplicación para:</w:t>
      </w:r>
    </w:p>
    <w:p w14:paraId="0BF1C667" w14:textId="77777777" w:rsidR="00914BD8" w:rsidRDefault="00914BD8" w:rsidP="00914BD8">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5552366" w14:textId="77777777" w:rsidR="00914BD8" w:rsidRDefault="00914BD8" w:rsidP="00914BD8">
      <w:pPr>
        <w:widowControl w:val="0"/>
        <w:tabs>
          <w:tab w:val="left" w:pos="682"/>
        </w:tabs>
        <w:autoSpaceDE w:val="0"/>
        <w:autoSpaceDN w:val="0"/>
        <w:adjustRightInd w:val="0"/>
        <w:spacing w:before="1"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a)</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beneficio previsto por el Título III de la ley 25865, reglamentado por el artículo 89 del decreto 806 del 23 de junio 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2004.</w:t>
      </w:r>
    </w:p>
    <w:p w14:paraId="3E3BF2EC" w14:textId="77777777" w:rsidR="00914BD8" w:rsidRDefault="00914BD8" w:rsidP="00914BD8">
      <w:pPr>
        <w:widowControl w:val="0"/>
        <w:tabs>
          <w:tab w:val="left" w:pos="675"/>
        </w:tabs>
        <w:autoSpaceDE w:val="0"/>
        <w:autoSpaceDN w:val="0"/>
        <w:adjustRightInd w:val="0"/>
        <w:spacing w:after="0" w:line="218"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b)</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El reintegro indicado en el artículo 27 del decreto</w:t>
      </w:r>
      <w:r>
        <w:rPr>
          <w:rFonts w:ascii="Trebuchet MS" w:hAnsi="Trebuchet MS" w:cs="Trebuchet MS"/>
          <w:spacing w:val="-25"/>
          <w:kern w:val="1"/>
          <w:sz w:val="19"/>
          <w:szCs w:val="19"/>
          <w:lang w:val="es-ES"/>
        </w:rPr>
        <w:t xml:space="preserve"> </w:t>
      </w:r>
      <w:r>
        <w:rPr>
          <w:rFonts w:ascii="Trebuchet MS" w:hAnsi="Trebuchet MS" w:cs="Trebuchet MS"/>
          <w:kern w:val="1"/>
          <w:sz w:val="19"/>
          <w:szCs w:val="19"/>
          <w:lang w:val="es-ES"/>
        </w:rPr>
        <w:t>806/2004.</w:t>
      </w:r>
    </w:p>
    <w:p w14:paraId="1CE30CAC" w14:textId="77777777" w:rsidR="00914BD8" w:rsidRDefault="00914BD8" w:rsidP="00914BD8">
      <w:pPr>
        <w:widowControl w:val="0"/>
        <w:tabs>
          <w:tab w:val="left" w:pos="717"/>
        </w:tabs>
        <w:autoSpaceDE w:val="0"/>
        <w:autoSpaceDN w:val="0"/>
        <w:adjustRightInd w:val="0"/>
        <w:spacing w:after="0" w:line="237" w:lineRule="auto"/>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c)</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regímenes de bonificación establecidos en el artículo 19 de la resolución general 1966, sus modificatorias y complementarias, en el artículo 17 de la resolución general 1967, sus modificatorias y complementarias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artículo</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22</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2278,</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modificatorias</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complementaria.</w:t>
      </w:r>
    </w:p>
    <w:p w14:paraId="4D69DA28" w14:textId="77777777" w:rsidR="00914BD8" w:rsidRDefault="00914BD8" w:rsidP="00914BD8">
      <w:pPr>
        <w:widowControl w:val="0"/>
        <w:tabs>
          <w:tab w:val="left" w:pos="676"/>
        </w:tabs>
        <w:autoSpaceDE w:val="0"/>
        <w:autoSpaceDN w:val="0"/>
        <w:adjustRightInd w:val="0"/>
        <w:spacing w:after="0" w:line="218"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d)</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 dispuesto en la resolución general 1575, sus modificatorias y</w:t>
      </w:r>
      <w:r>
        <w:rPr>
          <w:rFonts w:ascii="Trebuchet MS" w:hAnsi="Trebuchet MS" w:cs="Trebuchet MS"/>
          <w:spacing w:val="-34"/>
          <w:kern w:val="1"/>
          <w:sz w:val="19"/>
          <w:szCs w:val="19"/>
          <w:lang w:val="es-ES"/>
        </w:rPr>
        <w:t xml:space="preserve"> </w:t>
      </w:r>
      <w:r>
        <w:rPr>
          <w:rFonts w:ascii="Trebuchet MS" w:hAnsi="Trebuchet MS" w:cs="Trebuchet MS"/>
          <w:kern w:val="1"/>
          <w:sz w:val="19"/>
          <w:szCs w:val="19"/>
          <w:lang w:val="es-ES"/>
        </w:rPr>
        <w:t>complementaria.</w:t>
      </w:r>
    </w:p>
    <w:p w14:paraId="70E308CB" w14:textId="77777777" w:rsidR="00914BD8" w:rsidRDefault="00914BD8" w:rsidP="00914BD8">
      <w:pPr>
        <w:widowControl w:val="0"/>
        <w:tabs>
          <w:tab w:val="left" w:pos="674"/>
        </w:tabs>
        <w:autoSpaceDE w:val="0"/>
        <w:autoSpaceDN w:val="0"/>
        <w:adjustRightInd w:val="0"/>
        <w:spacing w:after="0" w:line="220" w:lineRule="exact"/>
        <w:ind w:left="360" w:right="-1"/>
        <w:jc w:val="both"/>
        <w:rPr>
          <w:rFonts w:ascii="Trebuchet MS" w:hAnsi="Trebuchet MS" w:cs="Trebuchet MS"/>
          <w:kern w:val="1"/>
          <w:sz w:val="19"/>
          <w:szCs w:val="19"/>
          <w:lang w:val="es-ES"/>
        </w:rPr>
      </w:pPr>
      <w:r>
        <w:rPr>
          <w:rFonts w:ascii="Trebuchet MS" w:hAnsi="Trebuchet MS" w:cs="Trebuchet MS"/>
          <w:spacing w:val="-1"/>
          <w:kern w:val="1"/>
          <w:sz w:val="19"/>
          <w:szCs w:val="19"/>
          <w:lang w:val="es-ES"/>
        </w:rPr>
        <w:t>e)</w:t>
      </w:r>
      <w:r>
        <w:rPr>
          <w:rFonts w:ascii="Trebuchet MS" w:hAnsi="Trebuchet MS" w:cs="Trebuchet MS"/>
          <w:spacing w:val="-1"/>
          <w:kern w:val="1"/>
          <w:sz w:val="19"/>
          <w:szCs w:val="19"/>
          <w:lang w:val="es-ES"/>
        </w:rPr>
        <w:tab/>
      </w:r>
      <w:r>
        <w:rPr>
          <w:rFonts w:ascii="Trebuchet MS" w:hAnsi="Trebuchet MS" w:cs="Trebuchet MS"/>
          <w:kern w:val="1"/>
          <w:sz w:val="19"/>
          <w:szCs w:val="19"/>
          <w:lang w:val="es-ES"/>
        </w:rPr>
        <w:t>Los pagos a legaciones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extranjeras.</w:t>
      </w:r>
    </w:p>
    <w:p w14:paraId="22DA24D6" w14:textId="77777777" w:rsidR="00914BD8" w:rsidRDefault="00914BD8" w:rsidP="00914BD8">
      <w:pPr>
        <w:widowControl w:val="0"/>
        <w:autoSpaceDE w:val="0"/>
        <w:autoSpaceDN w:val="0"/>
        <w:adjustRightInd w:val="0"/>
        <w:spacing w:after="0" w:line="240" w:lineRule="auto"/>
        <w:ind w:right="-1"/>
        <w:jc w:val="both"/>
        <w:rPr>
          <w:rFonts w:ascii="Times New Roman" w:hAnsi="Times New Roman" w:cs="Times New Roman"/>
          <w:b/>
          <w:bCs/>
          <w:kern w:val="1"/>
          <w:sz w:val="19"/>
          <w:szCs w:val="19"/>
          <w:lang w:val="es-ES"/>
        </w:rPr>
      </w:pPr>
    </w:p>
    <w:p w14:paraId="25C3F312" w14:textId="77777777" w:rsidR="00914BD8" w:rsidRDefault="00914BD8" w:rsidP="00914BD8">
      <w:pPr>
        <w:widowControl w:val="0"/>
        <w:autoSpaceDE w:val="0"/>
        <w:autoSpaceDN w:val="0"/>
        <w:adjustRightInd w:val="0"/>
        <w:spacing w:after="0" w:line="240" w:lineRule="auto"/>
        <w:ind w:right="-1"/>
        <w:rPr>
          <w:rFonts w:ascii="Times New Roman" w:hAnsi="Times New Roman" w:cs="Times New Roman"/>
          <w:b/>
          <w:bCs/>
          <w:kern w:val="1"/>
          <w:sz w:val="19"/>
          <w:szCs w:val="19"/>
          <w:lang w:val="es-ES"/>
        </w:rPr>
      </w:pPr>
    </w:p>
    <w:p w14:paraId="6950BE65" w14:textId="77777777" w:rsidR="00914BD8" w:rsidRDefault="00914BD8" w:rsidP="00914BD8">
      <w:pPr>
        <w:widowControl w:val="0"/>
        <w:autoSpaceDE w:val="0"/>
        <w:autoSpaceDN w:val="0"/>
        <w:adjustRightInd w:val="0"/>
        <w:spacing w:after="0" w:line="240" w:lineRule="auto"/>
        <w:ind w:right="-1"/>
        <w:jc w:val="both"/>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B - PROCEDIMIENTO PARA INFORMAR LA CLAVE BANCARIA UNIFORME (CBU)</w:t>
      </w:r>
    </w:p>
    <w:p w14:paraId="59A5261F" w14:textId="77777777" w:rsidR="00914BD8" w:rsidRDefault="00914BD8" w:rsidP="00914BD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2FB44FA6" w14:textId="77777777" w:rsidR="00914BD8" w:rsidRDefault="00914BD8" w:rsidP="00914B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5 - A efectos de informar la Clave Bancaria Uniforme (CBU), el interesado deberá ingresar, a través del sitio “web” del Organismo (http:// www.afip.gob.ar), al servicio de “Declaración de CBU para cobros de origen tributario, aduanero y de la seguridad social opción información alta/ modificación/ consulta”.</w:t>
      </w:r>
    </w:p>
    <w:p w14:paraId="33606BB9" w14:textId="77777777" w:rsidR="00914BD8" w:rsidRDefault="00914BD8" w:rsidP="00914BD8">
      <w:pPr>
        <w:widowControl w:val="0"/>
        <w:autoSpaceDE w:val="0"/>
        <w:autoSpaceDN w:val="0"/>
        <w:adjustRightInd w:val="0"/>
        <w:spacing w:before="2"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tales fines se accederá mediante la utilización de la “Clave Fiscal” habilitada con Nivel de Seguridad 3 o superior, obtenida según el procedimiento establecido por la resolución general 2239, su modificatoria y complementarias. Este servicio, calificado como no delegable, sólo podrá ser utilizado por el Administrador de Relaciones o Subadministrador de Relaciones definidos en la mencionada resolución general.</w:t>
      </w:r>
    </w:p>
    <w:p w14:paraId="15115893" w14:textId="77777777" w:rsidR="00914BD8" w:rsidRDefault="00914BD8" w:rsidP="00914B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De tratarse de una unión transitoria de empresas (UTE), deberán informarse las Claves Bancarias Uniformes (CBU) correspondientes a la Clave Única de Identificación Tributaria (CUIT) de cada uno de los componentes de dicha unión transitoria.</w:t>
      </w:r>
    </w:p>
    <w:p w14:paraId="557FB400" w14:textId="77777777" w:rsidR="00914BD8" w:rsidRDefault="00914BD8" w:rsidP="00914BD8">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F295179" w14:textId="77777777" w:rsidR="00914BD8" w:rsidRDefault="00914BD8" w:rsidP="00914BD8">
      <w:pPr>
        <w:widowControl w:val="0"/>
        <w:autoSpaceDE w:val="0"/>
        <w:autoSpaceDN w:val="0"/>
        <w:adjustRightInd w:val="0"/>
        <w:spacing w:after="0" w:line="240" w:lineRule="auto"/>
        <w:ind w:right="-1"/>
        <w:jc w:val="both"/>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C - PROCEDIMIENTO PARA VERIFICAR LA CLAVE BANCARIA UNIFORME</w:t>
      </w:r>
    </w:p>
    <w:p w14:paraId="0F2750E6" w14:textId="77777777" w:rsidR="00914BD8" w:rsidRDefault="00914BD8" w:rsidP="00914BD8">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2573509" w14:textId="77777777" w:rsidR="00914BD8" w:rsidRDefault="00914BD8" w:rsidP="00914B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6</w:t>
      </w:r>
      <w:r>
        <w:rPr>
          <w:rFonts w:ascii="Trebuchet MS" w:hAnsi="Trebuchet MS" w:cs="Trebuchet MS"/>
          <w:spacing w:val="-4"/>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Clave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Bancaria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Uniforme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(CBU)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informada,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antes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corroborada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 Administración Federal, con la información obtenida de acuerdo con el procedimiento establecido en el Capítulo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2386</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su</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modificación,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efectos</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verificar</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respectiva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relación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“CUIT titular 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cotitular/CBU”.</w:t>
      </w:r>
    </w:p>
    <w:p w14:paraId="169A7DED" w14:textId="77777777" w:rsidR="00914BD8" w:rsidRDefault="00914BD8" w:rsidP="00914BD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FDDB70D" w14:textId="77777777" w:rsidR="00914BD8" w:rsidRDefault="00914BD8" w:rsidP="00914BD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7 - En aquellos casos en que no pueda llevarse a cabo la verificación de la relación “CUIT/CBU”, las entidades bancarias -mediante el servicio “e-Ventanilla”- obtendrán en forma semanal el archivo correspondiente a la entidad y confirmarán o rechazarán la relación.</w:t>
      </w:r>
    </w:p>
    <w:p w14:paraId="37C45247" w14:textId="77777777" w:rsidR="00914BD8" w:rsidRDefault="00914BD8" w:rsidP="00914B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acceso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mencionado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servicio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efectuará</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utilizando</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“Clave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Fiscal”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habilitada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Nivel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3 o superior y podrá ser delegada a usuarios internos, mediante el sistema “Administración de Relaciones” previsto en la resolución general 2239, su modificatoria y</w:t>
      </w:r>
      <w:r>
        <w:rPr>
          <w:rFonts w:ascii="Trebuchet MS" w:hAnsi="Trebuchet MS" w:cs="Trebuchet MS"/>
          <w:spacing w:val="-29"/>
          <w:kern w:val="1"/>
          <w:sz w:val="19"/>
          <w:szCs w:val="19"/>
          <w:lang w:val="es-ES"/>
        </w:rPr>
        <w:t xml:space="preserve"> </w:t>
      </w:r>
      <w:r>
        <w:rPr>
          <w:rFonts w:ascii="Trebuchet MS" w:hAnsi="Trebuchet MS" w:cs="Trebuchet MS"/>
          <w:kern w:val="1"/>
          <w:sz w:val="19"/>
          <w:szCs w:val="19"/>
          <w:lang w:val="es-ES"/>
        </w:rPr>
        <w:t>complementarias.</w:t>
      </w:r>
    </w:p>
    <w:p w14:paraId="01953E7F" w14:textId="77777777" w:rsidR="00914BD8" w:rsidRDefault="00914BD8" w:rsidP="00914B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resultado será transmitido a este Organismo a través de “Internet”, ingresando al servicio “Declaración de CBU para cobros de origen tributario, aduanero y de la seguridad social opción confirmación”, dentro de las SETENTA Y DOS (72) horas de recibida la información.</w:t>
      </w:r>
    </w:p>
    <w:p w14:paraId="558B334D" w14:textId="77777777" w:rsidR="00914BD8" w:rsidRDefault="00914BD8" w:rsidP="00914B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Sin perjuicio del procedimiento descripto precedentemente, las entidades bancarias deberán, de corresponder, presentar el formulario de declaración jurada rectificativo previsto en el Capítulo A de la resolución general 2386 y su modificación.</w:t>
      </w:r>
    </w:p>
    <w:p w14:paraId="583BEE69" w14:textId="77777777" w:rsidR="00914BD8" w:rsidRDefault="00914BD8" w:rsidP="00914BD8">
      <w:pPr>
        <w:widowControl w:val="0"/>
        <w:autoSpaceDE w:val="0"/>
        <w:autoSpaceDN w:val="0"/>
        <w:adjustRightInd w:val="0"/>
        <w:spacing w:before="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falta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cumplimiento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información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requerida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dará</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lugar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-cuando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corresponda-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 aplicación de las sanciones previstas en la normativa</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vigente.</w:t>
      </w:r>
    </w:p>
    <w:p w14:paraId="0E36047E" w14:textId="77777777" w:rsidR="00914BD8" w:rsidRDefault="00914BD8" w:rsidP="00914BD8">
      <w:pPr>
        <w:widowControl w:val="0"/>
        <w:autoSpaceDE w:val="0"/>
        <w:autoSpaceDN w:val="0"/>
        <w:adjustRightInd w:val="0"/>
        <w:spacing w:before="88"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8 - Una vez cumplida la validación de datos indicada en los artículos anteriores, este Organismo procederá a dar de alta la Clave Bancaria Uniforme (CBU) informada.</w:t>
      </w:r>
    </w:p>
    <w:p w14:paraId="49572127" w14:textId="77777777" w:rsidR="00914BD8" w:rsidRDefault="00914BD8" w:rsidP="00914B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Los contribuyentes, responsables, administrados y cesionarios podrán consultar la verificación realizada por parte de esta Administración Federal, así como la aceptación o rechazo de la respectiva clave, a través del servicio “Declaración de CBU para cobros de origen tributario, aduanero y de la seguridad social opción información alta/modificación/consultar, disponible en el sitio “web” de este organismo (http://www.afip. gob.ar),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mediante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utilización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“Clave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Fiscal”,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obtenida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acuerdo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procedimiento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dispuesto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por la resolución general 2239, su modificatoria y sus</w:t>
      </w:r>
      <w:r>
        <w:rPr>
          <w:rFonts w:ascii="Trebuchet MS" w:hAnsi="Trebuchet MS" w:cs="Trebuchet MS"/>
          <w:spacing w:val="-22"/>
          <w:kern w:val="1"/>
          <w:sz w:val="19"/>
          <w:szCs w:val="19"/>
          <w:lang w:val="es-ES"/>
        </w:rPr>
        <w:t xml:space="preserve"> </w:t>
      </w:r>
      <w:r>
        <w:rPr>
          <w:rFonts w:ascii="Trebuchet MS" w:hAnsi="Trebuchet MS" w:cs="Trebuchet MS"/>
          <w:kern w:val="1"/>
          <w:sz w:val="19"/>
          <w:szCs w:val="19"/>
          <w:lang w:val="es-ES"/>
        </w:rPr>
        <w:t>complementarias.</w:t>
      </w:r>
    </w:p>
    <w:p w14:paraId="2E9FA4AB" w14:textId="77777777" w:rsidR="00914BD8" w:rsidRDefault="00914BD8" w:rsidP="00914BD8">
      <w:pPr>
        <w:widowControl w:val="0"/>
        <w:autoSpaceDE w:val="0"/>
        <w:autoSpaceDN w:val="0"/>
        <w:adjustRightInd w:val="0"/>
        <w:spacing w:before="6" w:after="0" w:line="240" w:lineRule="auto"/>
        <w:ind w:right="-1"/>
        <w:rPr>
          <w:rFonts w:ascii="Times New Roman" w:hAnsi="Times New Roman" w:cs="Times New Roman"/>
          <w:kern w:val="1"/>
          <w:sz w:val="18"/>
          <w:szCs w:val="18"/>
          <w:lang w:val="es-ES"/>
        </w:rPr>
      </w:pPr>
    </w:p>
    <w:p w14:paraId="3D7D033F" w14:textId="77777777" w:rsidR="00914BD8" w:rsidRDefault="00914BD8" w:rsidP="00914BD8">
      <w:pPr>
        <w:widowControl w:val="0"/>
        <w:autoSpaceDE w:val="0"/>
        <w:autoSpaceDN w:val="0"/>
        <w:adjustRightInd w:val="0"/>
        <w:spacing w:after="0" w:line="240" w:lineRule="auto"/>
        <w:ind w:right="-1"/>
        <w:jc w:val="both"/>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D - DISPOSICIÓN TRANSITORIA</w:t>
      </w:r>
    </w:p>
    <w:p w14:paraId="7FF25A87" w14:textId="77777777" w:rsidR="00914BD8" w:rsidRDefault="00914BD8" w:rsidP="00914BD8">
      <w:pPr>
        <w:widowControl w:val="0"/>
        <w:autoSpaceDE w:val="0"/>
        <w:autoSpaceDN w:val="0"/>
        <w:adjustRightInd w:val="0"/>
        <w:spacing w:before="3" w:after="0" w:line="240" w:lineRule="auto"/>
        <w:ind w:right="-1"/>
        <w:rPr>
          <w:rFonts w:ascii="Times New Roman" w:hAnsi="Times New Roman" w:cs="Times New Roman"/>
          <w:b/>
          <w:bCs/>
          <w:kern w:val="1"/>
          <w:sz w:val="10"/>
          <w:szCs w:val="10"/>
          <w:lang w:val="es-ES"/>
        </w:rPr>
      </w:pPr>
    </w:p>
    <w:p w14:paraId="0F87FAA9" w14:textId="77777777" w:rsidR="00914BD8" w:rsidRDefault="00914BD8" w:rsidP="00914BD8">
      <w:pPr>
        <w:widowControl w:val="0"/>
        <w:autoSpaceDE w:val="0"/>
        <w:autoSpaceDN w:val="0"/>
        <w:adjustRightInd w:val="0"/>
        <w:spacing w:before="100"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9 - Los contribuyentes, responsables, administrados y cesionarios que hubieran informado su Clave Bancaria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Uniforme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(CBU)</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con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anterioridad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entrada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vigencia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presente,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deberán</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ratificar</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misma mediante el procedimiento establecido en esta resolución general, dentro de los TREINTA (30) días corridos desde la vigencia prevista en el artículo 10, excepto de tratarse de alguno de los supuestos indicados en el artículo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4.</w:t>
      </w:r>
    </w:p>
    <w:p w14:paraId="6EA7E48E" w14:textId="77777777" w:rsidR="00914BD8" w:rsidRDefault="00914BD8" w:rsidP="00914BD8">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 partir del día siguiente a la finalización del plazo citado en el párrafo precedente será dada de baja, a los fines de la restitución de fondos de la recaudación, la Clave Bancaria Uniforme (CBU) de los sujetos que no hayan cumplido con lo dispuesto en el mismo.</w:t>
      </w:r>
    </w:p>
    <w:p w14:paraId="39F82082" w14:textId="77777777" w:rsidR="00914BD8" w:rsidRDefault="00914BD8" w:rsidP="00914BD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7F03FE0E" w14:textId="77777777" w:rsidR="00914BD8" w:rsidRDefault="00914BD8" w:rsidP="00914BD8">
      <w:pPr>
        <w:widowControl w:val="0"/>
        <w:autoSpaceDE w:val="0"/>
        <w:autoSpaceDN w:val="0"/>
        <w:adjustRightInd w:val="0"/>
        <w:spacing w:after="0" w:line="240" w:lineRule="auto"/>
        <w:ind w:right="-1"/>
        <w:jc w:val="both"/>
        <w:rPr>
          <w:rFonts w:ascii="Times New Roman" w:hAnsi="Times New Roman" w:cs="Times New Roman"/>
          <w:b/>
          <w:bCs/>
          <w:kern w:val="1"/>
          <w:sz w:val="19"/>
          <w:szCs w:val="19"/>
          <w:lang w:val="es-ES"/>
        </w:rPr>
      </w:pPr>
      <w:r>
        <w:rPr>
          <w:rFonts w:ascii="Trebuchet MS" w:hAnsi="Trebuchet MS" w:cs="Trebuchet MS"/>
          <w:b/>
          <w:bCs/>
          <w:kern w:val="1"/>
          <w:sz w:val="19"/>
          <w:szCs w:val="19"/>
          <w:u w:val="single"/>
          <w:lang w:val="es-ES"/>
        </w:rPr>
        <w:t>E - DISPOSICIONES GENERALES</w:t>
      </w:r>
    </w:p>
    <w:p w14:paraId="57364F54" w14:textId="77777777" w:rsidR="00914BD8" w:rsidRDefault="00914BD8" w:rsidP="00914BD8">
      <w:pPr>
        <w:widowControl w:val="0"/>
        <w:autoSpaceDE w:val="0"/>
        <w:autoSpaceDN w:val="0"/>
        <w:adjustRightInd w:val="0"/>
        <w:spacing w:before="2" w:after="0" w:line="240" w:lineRule="auto"/>
        <w:ind w:right="-1"/>
        <w:rPr>
          <w:rFonts w:ascii="Times New Roman" w:hAnsi="Times New Roman" w:cs="Times New Roman"/>
          <w:b/>
          <w:bCs/>
          <w:kern w:val="1"/>
          <w:sz w:val="10"/>
          <w:szCs w:val="10"/>
          <w:lang w:val="es-ES"/>
        </w:rPr>
      </w:pPr>
    </w:p>
    <w:p w14:paraId="24BB00A4" w14:textId="77777777" w:rsidR="00914BD8" w:rsidRDefault="00914BD8" w:rsidP="00914BD8">
      <w:pPr>
        <w:widowControl w:val="0"/>
        <w:autoSpaceDE w:val="0"/>
        <w:autoSpaceDN w:val="0"/>
        <w:adjustRightInd w:val="0"/>
        <w:spacing w:before="103" w:after="0" w:line="235"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10 - Las disposiciones establecidas por esta resolución general resultarán de aplicación a partir del quinto día hábil siguiente al de su publicación en el Boletín Oficial, inclusive.</w:t>
      </w:r>
    </w:p>
    <w:p w14:paraId="35144EEC" w14:textId="77777777" w:rsidR="00914BD8" w:rsidRDefault="00914BD8" w:rsidP="00914BD8">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6724882D" w14:textId="77777777" w:rsidR="00914BD8" w:rsidRDefault="00914BD8" w:rsidP="00914BD8">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11 - </w:t>
      </w:r>
      <w:proofErr w:type="spellStart"/>
      <w:r>
        <w:rPr>
          <w:rFonts w:ascii="Trebuchet MS" w:hAnsi="Trebuchet MS" w:cs="Trebuchet MS"/>
          <w:kern w:val="1"/>
          <w:sz w:val="19"/>
          <w:szCs w:val="19"/>
          <w:lang w:val="es-ES"/>
        </w:rPr>
        <w:t>Déjanse</w:t>
      </w:r>
      <w:proofErr w:type="spellEnd"/>
      <w:r>
        <w:rPr>
          <w:rFonts w:ascii="Trebuchet MS" w:hAnsi="Trebuchet MS" w:cs="Trebuchet MS"/>
          <w:kern w:val="1"/>
          <w:sz w:val="19"/>
          <w:szCs w:val="19"/>
          <w:lang w:val="es-ES"/>
        </w:rPr>
        <w:t xml:space="preserve"> sin efecto, desde la entrada en vigencia indicada en el artículo anterior, los procedimientos relacionados con la información de la Clave Bancaria Uniforme (CBU) establecidos en la resolución general 1036 y su complementaria, en el Anexo III de la resolución general 1921 y su modificación 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artículos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26,</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27</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28</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general</w:t>
      </w:r>
      <w:r>
        <w:rPr>
          <w:rFonts w:ascii="Trebuchet MS" w:hAnsi="Trebuchet MS" w:cs="Trebuchet MS"/>
          <w:spacing w:val="-1"/>
          <w:kern w:val="1"/>
          <w:sz w:val="19"/>
          <w:szCs w:val="19"/>
          <w:lang w:val="es-ES"/>
        </w:rPr>
        <w:t xml:space="preserve"> </w:t>
      </w:r>
      <w:r>
        <w:rPr>
          <w:rFonts w:ascii="Trebuchet MS" w:hAnsi="Trebuchet MS" w:cs="Trebuchet MS"/>
          <w:kern w:val="1"/>
          <w:sz w:val="19"/>
          <w:szCs w:val="19"/>
          <w:lang w:val="es-ES"/>
        </w:rPr>
        <w:t>2300</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modificatorias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complementaria,</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respecto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del reintegro del importe retenido, total o</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parcialmente.</w:t>
      </w:r>
    </w:p>
    <w:p w14:paraId="7F891B62" w14:textId="77777777" w:rsidR="00914BD8" w:rsidRDefault="00914BD8" w:rsidP="00914BD8">
      <w:pPr>
        <w:widowControl w:val="0"/>
        <w:autoSpaceDE w:val="0"/>
        <w:autoSpaceDN w:val="0"/>
        <w:adjustRightInd w:val="0"/>
        <w:spacing w:before="8" w:after="0" w:line="240" w:lineRule="auto"/>
        <w:ind w:right="-1"/>
        <w:rPr>
          <w:rFonts w:ascii="Times New Roman" w:hAnsi="Times New Roman" w:cs="Times New Roman"/>
          <w:kern w:val="1"/>
          <w:sz w:val="18"/>
          <w:szCs w:val="18"/>
          <w:lang w:val="es-ES"/>
        </w:rPr>
      </w:pPr>
    </w:p>
    <w:p w14:paraId="49EC742A" w14:textId="77777777" w:rsidR="00914BD8" w:rsidRDefault="00914BD8" w:rsidP="00914BD8">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12 - De forma.</w:t>
      </w:r>
    </w:p>
    <w:p w14:paraId="6CDB0543" w14:textId="39F7095A" w:rsidR="00592F1B" w:rsidRPr="00AC3BA6" w:rsidRDefault="00592F1B" w:rsidP="00914BD8">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7"/>
  </w:num>
  <w:num w:numId="3">
    <w:abstractNumId w:val="4"/>
  </w:num>
  <w:num w:numId="4">
    <w:abstractNumId w:val="5"/>
  </w:num>
  <w:num w:numId="5">
    <w:abstractNumId w:val="1"/>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6"/>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14BD8"/>
    <w:rsid w:val="00A53D64"/>
    <w:rsid w:val="00AC3BA6"/>
    <w:rsid w:val="00B21F6A"/>
    <w:rsid w:val="00B64518"/>
    <w:rsid w:val="00B6751E"/>
    <w:rsid w:val="00B91930"/>
    <w:rsid w:val="00E92FFD"/>
    <w:rsid w:val="00F81552"/>
    <w:rsid w:val="00FF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1441</Words>
  <Characters>7930</Characters>
  <Application>Microsoft Macintosh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2021-05-28T23:04:00Z</dcterms:created>
  <dcterms:modified xsi:type="dcterms:W3CDTF">2021-05-28T23:04:00Z</dcterms:modified>
</cp:coreProperties>
</file>