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1AFDD" w14:textId="77777777" w:rsidR="00701DA2" w:rsidRDefault="00701DA2" w:rsidP="00701DA2">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67E48607" w14:textId="77777777" w:rsidR="00701DA2" w:rsidRDefault="00701DA2" w:rsidP="00701DA2">
      <w:pPr>
        <w:widowControl w:val="0"/>
        <w:autoSpaceDE w:val="0"/>
        <w:autoSpaceDN w:val="0"/>
        <w:adjustRightInd w:val="0"/>
        <w:spacing w:after="0" w:line="20" w:lineRule="exact"/>
        <w:ind w:right="-1"/>
        <w:rPr>
          <w:rFonts w:ascii="Times New Roman" w:hAnsi="Times New Roman" w:cs="Times New Roman"/>
          <w:sz w:val="2"/>
          <w:szCs w:val="2"/>
          <w:lang w:val="es-ES"/>
        </w:rPr>
      </w:pPr>
    </w:p>
    <w:p w14:paraId="44F6A517" w14:textId="77777777" w:rsidR="00701DA2" w:rsidRDefault="00701DA2" w:rsidP="00701DA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528486F" w14:textId="77777777" w:rsidR="00701DA2" w:rsidRDefault="00701DA2" w:rsidP="00701DA2">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4860ED43" w14:textId="77777777" w:rsidR="00701DA2" w:rsidRDefault="00701DA2" w:rsidP="00701DA2">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APRUÉBASE LA CAMPAÑA NACIONAL DE VACUNACIÓN PARA </w:t>
      </w:r>
    </w:p>
    <w:p w14:paraId="2897D172" w14:textId="497AFA1B" w:rsidR="00701DA2" w:rsidRDefault="00701DA2" w:rsidP="00701DA2">
      <w:pPr>
        <w:widowControl w:val="0"/>
        <w:autoSpaceDE w:val="0"/>
        <w:autoSpaceDN w:val="0"/>
        <w:adjustRightInd w:val="0"/>
        <w:spacing w:after="0" w:line="475" w:lineRule="auto"/>
        <w:ind w:right="-1"/>
        <w:jc w:val="center"/>
        <w:rPr>
          <w:rFonts w:ascii="Trebuchet MS" w:hAnsi="Trebuchet MS" w:cs="Trebuchet MS"/>
          <w:b/>
          <w:bCs/>
          <w:sz w:val="19"/>
          <w:szCs w:val="19"/>
          <w:lang w:val="es-ES"/>
        </w:rPr>
      </w:pPr>
      <w:bookmarkStart w:id="0" w:name="_GoBack"/>
      <w:bookmarkEnd w:id="0"/>
      <w:r>
        <w:rPr>
          <w:rFonts w:ascii="Trebuchet MS" w:hAnsi="Trebuchet MS" w:cs="Trebuchet MS"/>
          <w:b/>
          <w:bCs/>
          <w:sz w:val="19"/>
          <w:szCs w:val="19"/>
          <w:lang w:val="es-ES"/>
        </w:rPr>
        <w:t xml:space="preserve">POLIOMIELITIS EN NIÑOS Y NIÑAS. </w:t>
      </w:r>
    </w:p>
    <w:p w14:paraId="356FA570" w14:textId="634AD1D6" w:rsidR="00701DA2" w:rsidRDefault="00701DA2" w:rsidP="00701DA2">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MINISTERIO DE SALUD</w:t>
      </w:r>
    </w:p>
    <w:p w14:paraId="172A8EBC" w14:textId="77777777" w:rsidR="00701DA2" w:rsidRDefault="00701DA2" w:rsidP="00701DA2">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 275 / 2009</w:t>
      </w:r>
    </w:p>
    <w:p w14:paraId="56B27BFE" w14:textId="77777777" w:rsidR="00701DA2" w:rsidRDefault="00701DA2" w:rsidP="00701DA2">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184B93DF" w14:textId="77777777" w:rsidR="00701DA2" w:rsidRDefault="00701DA2" w:rsidP="00701DA2">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18 de septiembre de 2009</w:t>
      </w:r>
    </w:p>
    <w:p w14:paraId="26748843" w14:textId="77777777" w:rsidR="00701DA2" w:rsidRDefault="00701DA2" w:rsidP="00701DA2">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5F9C394C" w14:textId="77777777" w:rsidR="00701DA2" w:rsidRDefault="00701DA2" w:rsidP="00701DA2">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074EF2FA" w14:textId="77777777" w:rsidR="00701DA2" w:rsidRDefault="00701DA2" w:rsidP="00701DA2">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7ACC168A" w14:textId="77777777" w:rsidR="00701DA2" w:rsidRDefault="00701DA2" w:rsidP="00701DA2">
      <w:pPr>
        <w:widowControl w:val="0"/>
        <w:autoSpaceDE w:val="0"/>
        <w:autoSpaceDN w:val="0"/>
        <w:adjustRightInd w:val="0"/>
        <w:spacing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El expediente 2002-15852/09-9 del registro de este Ministerio, y</w:t>
      </w:r>
    </w:p>
    <w:p w14:paraId="0289B568" w14:textId="77777777" w:rsidR="00701DA2" w:rsidRDefault="00701DA2" w:rsidP="00701DA2">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78010143" w14:textId="77777777" w:rsidR="00701DA2" w:rsidRDefault="00701DA2" w:rsidP="00701DA2">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599A672B" w14:textId="77777777" w:rsidR="00701DA2" w:rsidRDefault="00701DA2" w:rsidP="00701DA2">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1374C8E5"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 xml:space="preserve">Que la poliomielitis es una enfermedad infecciosa aguda ocasionada por un virus conocido como </w:t>
      </w:r>
      <w:proofErr w:type="spellStart"/>
      <w:r>
        <w:rPr>
          <w:rFonts w:ascii="Trebuchet MS" w:hAnsi="Trebuchet MS" w:cs="Trebuchet MS"/>
          <w:sz w:val="19"/>
          <w:szCs w:val="19"/>
          <w:lang w:val="es-ES"/>
        </w:rPr>
        <w:t>poliovirus</w:t>
      </w:r>
      <w:proofErr w:type="spellEnd"/>
      <w:r>
        <w:rPr>
          <w:rFonts w:ascii="Trebuchet MS" w:hAnsi="Trebuchet MS" w:cs="Trebuchet MS"/>
          <w:sz w:val="19"/>
          <w:szCs w:val="19"/>
          <w:lang w:val="es-ES"/>
        </w:rPr>
        <w:t>, 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afecta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principalmente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niños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aunque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puede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darse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niños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mayores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incluso adultos, afectando principalmente al sistema nervioso y destruyendo las células nerviosas encargadas del control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músculos,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pudiendo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llegar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ocasionar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parálisis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irreversible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incluso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provocar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muerte.</w:t>
      </w:r>
    </w:p>
    <w:p w14:paraId="024BBEBB" w14:textId="77777777" w:rsidR="00701DA2" w:rsidRDefault="00701DA2" w:rsidP="00701DA2">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EE0AEA0" w14:textId="77777777" w:rsidR="00701DA2" w:rsidRDefault="00701DA2" w:rsidP="00701DA2">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7C980DC9" w14:textId="77777777" w:rsidR="00701DA2" w:rsidRDefault="00701DA2" w:rsidP="00701DA2">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055CACF" w14:textId="77777777" w:rsidR="00701DA2" w:rsidRDefault="00701DA2" w:rsidP="00701DA2">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no existe tratamiento específico para la poliomielitis, pero desde la década del 50, se cuenta con la vacuna Sabin, la cual se incorporó en el Calendario Nacional de Vacunación, resultando en consecuencia que desde el año 1984 no se registren casos de esta enfermedad en el territorio nacional.</w:t>
      </w:r>
    </w:p>
    <w:p w14:paraId="26524B88" w14:textId="77777777" w:rsidR="00701DA2" w:rsidRDefault="00701DA2" w:rsidP="00701DA2">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285C46"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OMS impulsó, en 1988 la iniciativa global para erradicar la poliomielitis hacia el año 2000, a través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vacunación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masiva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vacuna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Sabin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Internacional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Certificación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Erradicación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 xml:space="preserve">de la Poliomielitis certificó la interrupción de la circulación del </w:t>
      </w:r>
      <w:proofErr w:type="spellStart"/>
      <w:r>
        <w:rPr>
          <w:rFonts w:ascii="Trebuchet MS" w:hAnsi="Trebuchet MS" w:cs="Trebuchet MS"/>
          <w:kern w:val="1"/>
          <w:sz w:val="19"/>
          <w:szCs w:val="19"/>
          <w:lang w:val="es-ES"/>
        </w:rPr>
        <w:t>poliovirus</w:t>
      </w:r>
      <w:proofErr w:type="spellEnd"/>
      <w:r>
        <w:rPr>
          <w:rFonts w:ascii="Trebuchet MS" w:hAnsi="Trebuchet MS" w:cs="Trebuchet MS"/>
          <w:kern w:val="1"/>
          <w:sz w:val="19"/>
          <w:szCs w:val="19"/>
          <w:lang w:val="es-ES"/>
        </w:rPr>
        <w:t xml:space="preserve"> salvaje en el año 1994 en las Américas, notificándose el último caso en la REPUBLICA DEL PERU y no registrándose transmisión autóctona de </w:t>
      </w:r>
      <w:proofErr w:type="spellStart"/>
      <w:r>
        <w:rPr>
          <w:rFonts w:ascii="Trebuchet MS" w:hAnsi="Trebuchet MS" w:cs="Trebuchet MS"/>
          <w:kern w:val="1"/>
          <w:sz w:val="19"/>
          <w:szCs w:val="19"/>
          <w:lang w:val="es-ES"/>
        </w:rPr>
        <w:t>poliovirus</w:t>
      </w:r>
      <w:proofErr w:type="spellEnd"/>
      <w:r>
        <w:rPr>
          <w:rFonts w:ascii="Trebuchet MS" w:hAnsi="Trebuchet MS" w:cs="Trebuchet MS"/>
          <w:kern w:val="1"/>
          <w:sz w:val="19"/>
          <w:szCs w:val="19"/>
          <w:lang w:val="es-ES"/>
        </w:rPr>
        <w:t xml:space="preserve"> salvaje en países de América desde esa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fecha.</w:t>
      </w:r>
    </w:p>
    <w:p w14:paraId="2D68C84A" w14:textId="77777777" w:rsidR="00701DA2" w:rsidRDefault="00701DA2" w:rsidP="00701DA2">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7D89713"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aún existen países en otros continentes donde la poliomielitis sigue siendo endémica, por lo que la posibilidad de ocurrencia de un caso de poliomielitis en nuestro país, existe mientras haya países en los cuales el </w:t>
      </w:r>
      <w:proofErr w:type="spellStart"/>
      <w:r>
        <w:rPr>
          <w:rFonts w:ascii="Trebuchet MS" w:hAnsi="Trebuchet MS" w:cs="Trebuchet MS"/>
          <w:kern w:val="1"/>
          <w:sz w:val="19"/>
          <w:szCs w:val="19"/>
          <w:lang w:val="es-ES"/>
        </w:rPr>
        <w:t>poliovirus</w:t>
      </w:r>
      <w:proofErr w:type="spellEnd"/>
      <w:r>
        <w:rPr>
          <w:rFonts w:ascii="Trebuchet MS" w:hAnsi="Trebuchet MS" w:cs="Trebuchet MS"/>
          <w:kern w:val="1"/>
          <w:sz w:val="19"/>
          <w:szCs w:val="19"/>
          <w:lang w:val="es-ES"/>
        </w:rPr>
        <w:t xml:space="preserve"> salvaje continúa circulando, lo que requiere mantener coberturas de vacunación del NOVENTA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(95%)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mayores,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garantizar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protección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posibilidad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contagio a partir de un caso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importado.</w:t>
      </w:r>
    </w:p>
    <w:p w14:paraId="3B2885BA" w14:textId="77777777" w:rsidR="00701DA2" w:rsidRDefault="00701DA2" w:rsidP="00701DA2">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C9EF189"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vacuna Sabin es una vacuna a virus vivos atenuados, por lo tanto las personas vacunadas, eliminan este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virus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atenuado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continúa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circulando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ambiente,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deben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generar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estrategias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 xml:space="preserve">locales para que la población </w:t>
      </w:r>
      <w:proofErr w:type="spellStart"/>
      <w:r>
        <w:rPr>
          <w:rFonts w:ascii="Trebuchet MS" w:hAnsi="Trebuchet MS" w:cs="Trebuchet MS"/>
          <w:kern w:val="1"/>
          <w:sz w:val="19"/>
          <w:szCs w:val="19"/>
          <w:lang w:val="es-ES"/>
        </w:rPr>
        <w:t>inmunosuprimida</w:t>
      </w:r>
      <w:proofErr w:type="spellEnd"/>
      <w:r>
        <w:rPr>
          <w:rFonts w:ascii="Trebuchet MS" w:hAnsi="Trebuchet MS" w:cs="Trebuchet MS"/>
          <w:kern w:val="1"/>
          <w:sz w:val="19"/>
          <w:szCs w:val="19"/>
          <w:lang w:val="es-ES"/>
        </w:rPr>
        <w:t xml:space="preserve"> menor a SIETE (7) años, presente esquema completo con IPV (vacuna </w:t>
      </w:r>
      <w:proofErr w:type="spellStart"/>
      <w:r>
        <w:rPr>
          <w:rFonts w:ascii="Trebuchet MS" w:hAnsi="Trebuchet MS" w:cs="Trebuchet MS"/>
          <w:kern w:val="1"/>
          <w:sz w:val="19"/>
          <w:szCs w:val="19"/>
          <w:lang w:val="es-ES"/>
        </w:rPr>
        <w:t>antipolimielitis</w:t>
      </w:r>
      <w:proofErr w:type="spellEnd"/>
      <w:r>
        <w:rPr>
          <w:rFonts w:ascii="Trebuchet MS" w:hAnsi="Trebuchet MS" w:cs="Trebuchet MS"/>
          <w:kern w:val="1"/>
          <w:sz w:val="19"/>
          <w:szCs w:val="19"/>
          <w:lang w:val="es-ES"/>
        </w:rPr>
        <w:t xml:space="preserve"> inactivada), antes del inicio de la Campaña con</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Sabin.</w:t>
      </w:r>
    </w:p>
    <w:p w14:paraId="18A4DAC1" w14:textId="77777777" w:rsidR="00701DA2" w:rsidRDefault="00701DA2" w:rsidP="00701DA2">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768EA9E"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el virus atenuado </w:t>
      </w:r>
      <w:proofErr w:type="spellStart"/>
      <w:r>
        <w:rPr>
          <w:rFonts w:ascii="Trebuchet MS" w:hAnsi="Trebuchet MS" w:cs="Trebuchet MS"/>
          <w:kern w:val="1"/>
          <w:sz w:val="19"/>
          <w:szCs w:val="19"/>
          <w:lang w:val="es-ES"/>
        </w:rPr>
        <w:t>vacunal</w:t>
      </w:r>
      <w:proofErr w:type="spellEnd"/>
      <w:r>
        <w:rPr>
          <w:rFonts w:ascii="Trebuchet MS" w:hAnsi="Trebuchet MS" w:cs="Trebuchet MS"/>
          <w:kern w:val="1"/>
          <w:sz w:val="19"/>
          <w:szCs w:val="19"/>
          <w:lang w:val="es-ES"/>
        </w:rPr>
        <w:t xml:space="preserve"> puede mutar y revertir a la </w:t>
      </w:r>
      <w:proofErr w:type="spellStart"/>
      <w:r>
        <w:rPr>
          <w:rFonts w:ascii="Trebuchet MS" w:hAnsi="Trebuchet MS" w:cs="Trebuchet MS"/>
          <w:kern w:val="1"/>
          <w:sz w:val="19"/>
          <w:szCs w:val="19"/>
          <w:lang w:val="es-ES"/>
        </w:rPr>
        <w:t>neurovirulencia</w:t>
      </w:r>
      <w:proofErr w:type="spellEnd"/>
      <w:r>
        <w:rPr>
          <w:rFonts w:ascii="Trebuchet MS" w:hAnsi="Trebuchet MS" w:cs="Trebuchet MS"/>
          <w:kern w:val="1"/>
          <w:sz w:val="19"/>
          <w:szCs w:val="19"/>
          <w:lang w:val="es-ES"/>
        </w:rPr>
        <w:t>, (Virus Sabin Derivado), para la cual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requiere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infectar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previamente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individuos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susceptibles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vacunados),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contextos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baja cobertura, se incrementa el riesgo de originar este tipo de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evento.</w:t>
      </w:r>
    </w:p>
    <w:p w14:paraId="5EFD7455" w14:textId="77777777" w:rsidR="00701DA2" w:rsidRDefault="00701DA2" w:rsidP="00701DA2">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C64BEEA" w14:textId="77777777" w:rsidR="00701DA2" w:rsidRDefault="00701DA2" w:rsidP="00701DA2">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en contextos de baja cobertura, el número de personas susceptibles aumenta, brindándole al virus atenuado </w:t>
      </w:r>
      <w:proofErr w:type="spellStart"/>
      <w:r>
        <w:rPr>
          <w:rFonts w:ascii="Trebuchet MS" w:hAnsi="Trebuchet MS" w:cs="Trebuchet MS"/>
          <w:kern w:val="1"/>
          <w:sz w:val="19"/>
          <w:szCs w:val="19"/>
          <w:lang w:val="es-ES"/>
        </w:rPr>
        <w:t>vacunal</w:t>
      </w:r>
      <w:proofErr w:type="spellEnd"/>
      <w:r>
        <w:rPr>
          <w:rFonts w:ascii="Trebuchet MS" w:hAnsi="Trebuchet MS" w:cs="Trebuchet MS"/>
          <w:kern w:val="1"/>
          <w:sz w:val="19"/>
          <w:szCs w:val="19"/>
          <w:lang w:val="es-ES"/>
        </w:rPr>
        <w:t xml:space="preserve"> una mayor capacidad infectante en</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susceptibles.</w:t>
      </w:r>
    </w:p>
    <w:p w14:paraId="7FFCEF45" w14:textId="77777777" w:rsidR="00701DA2" w:rsidRDefault="00701DA2" w:rsidP="00701DA2">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5742939" w14:textId="77777777" w:rsidR="00701DA2" w:rsidRDefault="00701DA2" w:rsidP="00701DA2">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además, un porcentaje considerable de los niños correctamente vacunados, con TRES (3) dosis de OPV, podrían ser susceptibles.</w:t>
      </w:r>
    </w:p>
    <w:p w14:paraId="745E2C9F" w14:textId="77777777" w:rsidR="00701DA2" w:rsidRDefault="00701DA2" w:rsidP="00701DA2">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BE2C373"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para interrumpir la transmisión del </w:t>
      </w:r>
      <w:proofErr w:type="spellStart"/>
      <w:r>
        <w:rPr>
          <w:rFonts w:ascii="Trebuchet MS" w:hAnsi="Trebuchet MS" w:cs="Trebuchet MS"/>
          <w:kern w:val="1"/>
          <w:sz w:val="19"/>
          <w:szCs w:val="19"/>
          <w:lang w:val="es-ES"/>
        </w:rPr>
        <w:t>poliovirus</w:t>
      </w:r>
      <w:proofErr w:type="spellEnd"/>
      <w:r>
        <w:rPr>
          <w:rFonts w:ascii="Trebuchet MS" w:hAnsi="Trebuchet MS" w:cs="Trebuchet MS"/>
          <w:kern w:val="1"/>
          <w:sz w:val="19"/>
          <w:szCs w:val="19"/>
          <w:lang w:val="es-ES"/>
        </w:rPr>
        <w:t xml:space="preserve"> salvaje de la poliomielitis, es necesario alcanzar y mantener elevadas coberturas de vacunación con vacuna </w:t>
      </w:r>
      <w:proofErr w:type="spellStart"/>
      <w:r>
        <w:rPr>
          <w:rFonts w:ascii="Trebuchet MS" w:hAnsi="Trebuchet MS" w:cs="Trebuchet MS"/>
          <w:kern w:val="1"/>
          <w:sz w:val="19"/>
          <w:szCs w:val="19"/>
          <w:lang w:val="es-ES"/>
        </w:rPr>
        <w:t>antipoliomielítica</w:t>
      </w:r>
      <w:proofErr w:type="spellEnd"/>
      <w:r>
        <w:rPr>
          <w:rFonts w:ascii="Trebuchet MS" w:hAnsi="Trebuchet MS" w:cs="Trebuchet MS"/>
          <w:kern w:val="1"/>
          <w:sz w:val="19"/>
          <w:szCs w:val="19"/>
          <w:lang w:val="es-ES"/>
        </w:rPr>
        <w:t>. Esto refuerza la importancia de garantizar que todos los niños y niñas estén correctamente vacunados.</w:t>
      </w:r>
    </w:p>
    <w:p w14:paraId="2570FE00" w14:textId="77777777" w:rsidR="00701DA2" w:rsidRDefault="00701DA2" w:rsidP="00701DA2">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ACD1D10" w14:textId="77777777" w:rsidR="00701DA2" w:rsidRDefault="00701DA2" w:rsidP="00701DA2">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 xml:space="preserve">Que en Argentina, desde 1984 no se registró la reintroducción del </w:t>
      </w:r>
      <w:proofErr w:type="spellStart"/>
      <w:r>
        <w:rPr>
          <w:rFonts w:ascii="Trebuchet MS" w:hAnsi="Trebuchet MS" w:cs="Trebuchet MS"/>
          <w:kern w:val="1"/>
          <w:sz w:val="19"/>
          <w:szCs w:val="19"/>
          <w:lang w:val="es-ES"/>
        </w:rPr>
        <w:t>poliovirus</w:t>
      </w:r>
      <w:proofErr w:type="spellEnd"/>
      <w:r>
        <w:rPr>
          <w:rFonts w:ascii="Trebuchet MS" w:hAnsi="Trebuchet MS" w:cs="Trebuchet MS"/>
          <w:kern w:val="1"/>
          <w:sz w:val="19"/>
          <w:szCs w:val="19"/>
          <w:lang w:val="es-ES"/>
        </w:rPr>
        <w:t xml:space="preserve"> salvaje, pero en mayo de 2009, el departamento de epidemiología de la CIUDAD DE BUENOS AIRES, notificó un caso de parálisis aguda</w:t>
      </w:r>
    </w:p>
    <w:p w14:paraId="29E0F190" w14:textId="77777777" w:rsidR="00701DA2" w:rsidRDefault="00701DA2" w:rsidP="00701DA2">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fláccida en un niño oriundo de la PROVINCIA DE SAN LUIS, ocasionado por un </w:t>
      </w:r>
      <w:proofErr w:type="spellStart"/>
      <w:r>
        <w:rPr>
          <w:rFonts w:ascii="Trebuchet MS" w:hAnsi="Trebuchet MS" w:cs="Trebuchet MS"/>
          <w:kern w:val="1"/>
          <w:sz w:val="19"/>
          <w:szCs w:val="19"/>
          <w:lang w:val="es-ES"/>
        </w:rPr>
        <w:t>Poliovirus</w:t>
      </w:r>
      <w:proofErr w:type="spellEnd"/>
      <w:r>
        <w:rPr>
          <w:rFonts w:ascii="Trebuchet MS" w:hAnsi="Trebuchet MS" w:cs="Trebuchet MS"/>
          <w:kern w:val="1"/>
          <w:sz w:val="19"/>
          <w:szCs w:val="19"/>
          <w:lang w:val="es-ES"/>
        </w:rPr>
        <w:t xml:space="preserve"> Sabin 1, que se confirmó luego como un virus Sabin derivado, que a los fines epidemiológicos se comporta como </w:t>
      </w:r>
      <w:proofErr w:type="spellStart"/>
      <w:r>
        <w:rPr>
          <w:rFonts w:ascii="Trebuchet MS" w:hAnsi="Trebuchet MS" w:cs="Trebuchet MS"/>
          <w:kern w:val="1"/>
          <w:sz w:val="19"/>
          <w:szCs w:val="19"/>
          <w:lang w:val="es-ES"/>
        </w:rPr>
        <w:t>Poliovirus</w:t>
      </w:r>
      <w:proofErr w:type="spellEnd"/>
      <w:r>
        <w:rPr>
          <w:rFonts w:ascii="Trebuchet MS" w:hAnsi="Trebuchet MS" w:cs="Trebuchet MS"/>
          <w:kern w:val="1"/>
          <w:sz w:val="19"/>
          <w:szCs w:val="19"/>
          <w:lang w:val="es-ES"/>
        </w:rPr>
        <w:t xml:space="preserve"> salvaje.</w:t>
      </w:r>
    </w:p>
    <w:p w14:paraId="359FF9CE" w14:textId="77777777" w:rsidR="00701DA2" w:rsidRDefault="00701DA2" w:rsidP="00701DA2">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53F1B2B" w14:textId="77777777" w:rsidR="00701DA2" w:rsidRDefault="00701DA2" w:rsidP="00701DA2">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la XVII Reunión del Grupo Técnico Asesor sobre Enfermedades Prevenibles por Vacunación, del 2006, recomendó que la OPV continúe siendo la vacuna de elección en la fase final de la erradicación global de la poliomielitis y que para reducir el riesgo de importaciones y prevenir otro brote causado por un </w:t>
      </w:r>
      <w:proofErr w:type="spellStart"/>
      <w:r>
        <w:rPr>
          <w:rFonts w:ascii="Trebuchet MS" w:hAnsi="Trebuchet MS" w:cs="Trebuchet MS"/>
          <w:kern w:val="1"/>
          <w:sz w:val="19"/>
          <w:szCs w:val="19"/>
          <w:lang w:val="es-ES"/>
        </w:rPr>
        <w:t>poliovirus</w:t>
      </w:r>
      <w:proofErr w:type="spellEnd"/>
      <w:r>
        <w:rPr>
          <w:rFonts w:ascii="Trebuchet MS" w:hAnsi="Trebuchet MS" w:cs="Trebuchet MS"/>
          <w:kern w:val="1"/>
          <w:sz w:val="19"/>
          <w:szCs w:val="19"/>
          <w:lang w:val="es-ES"/>
        </w:rPr>
        <w:t xml:space="preserve"> derivado de la vacuna Sabin, los países que no hayan logrado una cobertura con OPV NOVENTA Y CINCO POR CIENTO (95%) en todos los municipios, conduzcan campañas anuales de inmunización con OPV para niños menores de CINCO (5) años de edad, independientemente de su estado de vacunación.</w:t>
      </w:r>
    </w:p>
    <w:p w14:paraId="71021776" w14:textId="77777777" w:rsidR="00701DA2" w:rsidRDefault="00701DA2" w:rsidP="00701DA2">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84AF7B5"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vacunación es una intervención de elevado costo/beneficio, que ha demostrado su impacto en la erradicación de la viruela a nivel mundial, la eliminación de la poliomielitis y la eliminación de la circulación autóctona del virus del sarampión de las Américas.</w:t>
      </w:r>
    </w:p>
    <w:p w14:paraId="6F0DE60B" w14:textId="77777777" w:rsidR="00701DA2" w:rsidRDefault="00701DA2" w:rsidP="00701DA2">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33F279D" w14:textId="77777777" w:rsidR="00701DA2" w:rsidRDefault="00701DA2" w:rsidP="00701DA2">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DIRECCION GENERAL DE ASUNTOS JURIDICOS ha tomado la intervención de su competencia.</w:t>
      </w:r>
    </w:p>
    <w:p w14:paraId="28DF7001" w14:textId="77777777" w:rsidR="00701DA2" w:rsidRDefault="00701DA2" w:rsidP="00701DA2">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ED89229"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medida se adopta en ejercicio de las facultades atribuidas por la “Ley de Ministerios T.O. 1992”, modificado por Ley Nacional Nº 26.338.</w:t>
      </w:r>
    </w:p>
    <w:p w14:paraId="756BF76C" w14:textId="77777777" w:rsidR="00701DA2" w:rsidRDefault="00701DA2" w:rsidP="00701DA2">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9FFE3D8" w14:textId="77777777" w:rsidR="00701DA2" w:rsidRDefault="00701DA2" w:rsidP="00701DA2">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78D4A7D0" w14:textId="77777777" w:rsidR="00701DA2" w:rsidRDefault="00701DA2" w:rsidP="00701DA2">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MINISTRO DE SALUD RESUELVE:</w:t>
      </w:r>
    </w:p>
    <w:p w14:paraId="1136C84F" w14:textId="77777777" w:rsidR="00701DA2" w:rsidRDefault="00701DA2" w:rsidP="00701DA2">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7DAF27FB" w14:textId="77777777" w:rsidR="00701DA2" w:rsidRDefault="00701DA2" w:rsidP="00701DA2">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39DCB9C"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Apruébase</w:t>
      </w:r>
      <w:proofErr w:type="spellEnd"/>
      <w:r>
        <w:rPr>
          <w:rFonts w:ascii="Trebuchet MS" w:hAnsi="Trebuchet MS" w:cs="Trebuchet MS"/>
          <w:kern w:val="1"/>
          <w:sz w:val="19"/>
          <w:szCs w:val="19"/>
          <w:lang w:val="es-ES"/>
        </w:rPr>
        <w:t xml:space="preserve"> la Campaña Nacional de Vacunación para Poliomielitis en niños y niñas de DOS (2) meses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inclusive,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llevará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cabo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28</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septiembre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octubre de 2009, para consolidar la eliminación de la Poliomielitis y prevenir la diseminación del virus Sabin derivado en Argentina y declárase como una prioridad en salud</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pública.</w:t>
      </w:r>
    </w:p>
    <w:p w14:paraId="1798EA3A" w14:textId="77777777" w:rsidR="00701DA2" w:rsidRDefault="00701DA2" w:rsidP="00701DA2">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05E82A4" w14:textId="77777777" w:rsidR="00701DA2" w:rsidRDefault="00701DA2" w:rsidP="00701DA2">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la Campaña Nacional de Vacunación para Poliomielitis se realizará con vacuna Sabin (OPV).</w:t>
      </w:r>
    </w:p>
    <w:p w14:paraId="24C6CA09" w14:textId="77777777" w:rsidR="00701DA2" w:rsidRDefault="00701DA2" w:rsidP="00701DA2">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94189CB"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Los Servicios de Salud públicos y privados, así como las diversas instituciones, deberán garantizar la vacunación contra la Poliomielitis en toda la población de niños y niñas de DOS (2) meses a CUATRO (4) años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inclusive,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independientemente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antecedente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haber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recibido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vacuna.</w:t>
      </w:r>
    </w:p>
    <w:p w14:paraId="6250185F" w14:textId="77777777" w:rsidR="00701DA2" w:rsidRDefault="00701DA2" w:rsidP="00701DA2">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5C3D672"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Durante el tiempo que dure la presente Campaña, los Servicios de Salud públicos, con la coordinación del MINISTERIO DE SALUD, deberán dedicarse de manera prioritaria a las actividades de la misma, en función de garantizar su éxito y el cumplimiento de la meta de más del NOVENTA Y CINCO POR CIENTO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(95%)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cobertura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vacunación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municipios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país.</w:t>
      </w:r>
    </w:p>
    <w:p w14:paraId="35069667" w14:textId="77777777" w:rsidR="00701DA2" w:rsidRDefault="00701DA2" w:rsidP="00701DA2">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8C4AFBA"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5 - El MINISTERIO DE SALUD proveerá de vacunas, material descartable y carnets a los </w:t>
      </w:r>
      <w:proofErr w:type="spellStart"/>
      <w:r>
        <w:rPr>
          <w:rFonts w:ascii="Trebuchet MS" w:hAnsi="Trebuchet MS" w:cs="Trebuchet MS"/>
          <w:kern w:val="1"/>
          <w:sz w:val="19"/>
          <w:szCs w:val="19"/>
          <w:lang w:val="es-ES"/>
        </w:rPr>
        <w:t>vacunatorios</w:t>
      </w:r>
      <w:proofErr w:type="spellEnd"/>
      <w:r>
        <w:rPr>
          <w:rFonts w:ascii="Trebuchet MS" w:hAnsi="Trebuchet MS" w:cs="Trebuchet MS"/>
          <w:kern w:val="1"/>
          <w:sz w:val="19"/>
          <w:szCs w:val="19"/>
          <w:lang w:val="es-ES"/>
        </w:rPr>
        <w:t xml:space="preserve">. Los citados </w:t>
      </w:r>
      <w:proofErr w:type="spellStart"/>
      <w:r>
        <w:rPr>
          <w:rFonts w:ascii="Trebuchet MS" w:hAnsi="Trebuchet MS" w:cs="Trebuchet MS"/>
          <w:kern w:val="1"/>
          <w:sz w:val="19"/>
          <w:szCs w:val="19"/>
          <w:lang w:val="es-ES"/>
        </w:rPr>
        <w:t>vacunatorios</w:t>
      </w:r>
      <w:proofErr w:type="spellEnd"/>
      <w:r>
        <w:rPr>
          <w:rFonts w:ascii="Trebuchet MS" w:hAnsi="Trebuchet MS" w:cs="Trebuchet MS"/>
          <w:kern w:val="1"/>
          <w:sz w:val="19"/>
          <w:szCs w:val="19"/>
          <w:lang w:val="es-ES"/>
        </w:rPr>
        <w:t>, deberán solicitar a los padres de toda la población implicada, que vacunen a sus niños y explicarán minuciosamente la importancia de la misma, y que porten siempre el carnet que certifica que se les administró la vacuna de la Poliomielitis para la evaluación de la campaña.</w:t>
      </w:r>
    </w:p>
    <w:p w14:paraId="0C966943" w14:textId="77777777" w:rsidR="00701DA2" w:rsidRDefault="00701DA2" w:rsidP="00701DA2">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150D808"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determinará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Central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Vacunación,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provincia,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estrategia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reforzar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vacunación.</w:t>
      </w:r>
    </w:p>
    <w:p w14:paraId="157C5039" w14:textId="77777777" w:rsidR="00701DA2" w:rsidRDefault="00701DA2" w:rsidP="00701DA2">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D1E5FB7" w14:textId="77777777" w:rsidR="00701DA2" w:rsidRDefault="00701DA2" w:rsidP="00701DA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7 - </w:t>
      </w:r>
      <w:proofErr w:type="spellStart"/>
      <w:r>
        <w:rPr>
          <w:rFonts w:ascii="Trebuchet MS" w:hAnsi="Trebuchet MS" w:cs="Trebuchet MS"/>
          <w:kern w:val="1"/>
          <w:sz w:val="19"/>
          <w:szCs w:val="19"/>
          <w:lang w:val="es-ES"/>
        </w:rPr>
        <w:t>Invítase</w:t>
      </w:r>
      <w:proofErr w:type="spellEnd"/>
      <w:r>
        <w:rPr>
          <w:rFonts w:ascii="Trebuchet MS" w:hAnsi="Trebuchet MS" w:cs="Trebuchet MS"/>
          <w:kern w:val="1"/>
          <w:sz w:val="19"/>
          <w:szCs w:val="19"/>
          <w:lang w:val="es-ES"/>
        </w:rPr>
        <w:t xml:space="preserve"> a las PROVINCIAS ARGENTINAS y a la CIUDAD AUTONOMA DE BUENOS AIRES a promover la campaña de vacunación con un fuerte compromiso político, intensa comunicación y movilización social para adherir a la Campaña Nacional de Vacunación para Poliomielitis en niños y niñas de DOS (2) meses CUATRO</w:t>
      </w:r>
    </w:p>
    <w:p w14:paraId="714ADFFC" w14:textId="77777777" w:rsidR="00701DA2" w:rsidRDefault="00701DA2" w:rsidP="00701DA2">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 años.</w:t>
      </w:r>
    </w:p>
    <w:p w14:paraId="607FA94D" w14:textId="77777777" w:rsidR="00701DA2" w:rsidRDefault="00701DA2" w:rsidP="00701DA2">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C8ED866" w14:textId="77777777" w:rsidR="00701DA2" w:rsidRDefault="00701DA2" w:rsidP="00701DA2">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8 -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Cumplido, archívese.</w:t>
      </w:r>
    </w:p>
    <w:p w14:paraId="2F108A56" w14:textId="77777777" w:rsidR="00701DA2" w:rsidRDefault="00701DA2" w:rsidP="00701DA2">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 Juan L. </w:t>
      </w:r>
      <w:proofErr w:type="spellStart"/>
      <w:r>
        <w:rPr>
          <w:rFonts w:ascii="Trebuchet MS" w:hAnsi="Trebuchet MS" w:cs="Trebuchet MS"/>
          <w:kern w:val="1"/>
          <w:sz w:val="19"/>
          <w:szCs w:val="19"/>
          <w:lang w:val="es-ES"/>
        </w:rPr>
        <w:t>Manzur</w:t>
      </w:r>
      <w:proofErr w:type="spellEnd"/>
      <w:r>
        <w:rPr>
          <w:rFonts w:ascii="Trebuchet MS" w:hAnsi="Trebuchet MS" w:cs="Trebuchet MS"/>
          <w:kern w:val="1"/>
          <w:sz w:val="19"/>
          <w:szCs w:val="19"/>
          <w:lang w:val="es-ES"/>
        </w:rPr>
        <w:t>.</w:t>
      </w:r>
    </w:p>
    <w:p w14:paraId="6CDB0543" w14:textId="39F7095A" w:rsidR="00592F1B" w:rsidRPr="00AC3BA6" w:rsidRDefault="00592F1B" w:rsidP="00701DA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01DA2"/>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1072</Words>
  <Characters>5901</Characters>
  <Application>Microsoft Macintosh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2021-05-17T16:09:00Z</dcterms:created>
  <dcterms:modified xsi:type="dcterms:W3CDTF">2021-05-17T16:09:00Z</dcterms:modified>
</cp:coreProperties>
</file>