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15E53" w14:textId="77777777" w:rsidR="006C2E08" w:rsidRDefault="006C2E08" w:rsidP="006C2E08">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5ADC8AAA" w14:textId="77777777" w:rsidR="006C2E08" w:rsidRDefault="006C2E08" w:rsidP="006C2E08">
      <w:pPr>
        <w:widowControl w:val="0"/>
        <w:autoSpaceDE w:val="0"/>
        <w:autoSpaceDN w:val="0"/>
        <w:adjustRightInd w:val="0"/>
        <w:spacing w:after="0" w:line="20" w:lineRule="exact"/>
        <w:ind w:right="-1"/>
        <w:rPr>
          <w:rFonts w:ascii="Times New Roman" w:hAnsi="Times New Roman" w:cs="Times New Roman"/>
          <w:sz w:val="2"/>
          <w:szCs w:val="2"/>
          <w:lang w:val="es-ES"/>
        </w:rPr>
      </w:pPr>
      <w:r>
        <w:rPr>
          <w:rFonts w:ascii="Times New Roman" w:hAnsi="Times New Roman" w:cs="Times New Roman"/>
          <w:sz w:val="2"/>
          <w:szCs w:val="2"/>
          <w:lang w:val="es-ES"/>
        </w:rPr>
        <w:t xml:space="preserve"> </w:t>
      </w:r>
    </w:p>
    <w:p w14:paraId="59C086E7" w14:textId="77777777" w:rsidR="006C2E08" w:rsidRDefault="006C2E08" w:rsidP="006C2E0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A044261" w14:textId="77777777" w:rsidR="006C2E08" w:rsidRDefault="006C2E08" w:rsidP="006C2E08">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69FFFEE4" w14:textId="77777777" w:rsidR="006C2E08" w:rsidRDefault="006C2E08" w:rsidP="006C2E08">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PRORRÓGASE POR 150 DÍAS EL PLAZO PREVISTO POR LA LEY N° 621, B.O. N° 1269, </w:t>
      </w:r>
    </w:p>
    <w:p w14:paraId="207363C0" w14:textId="1CE270E2" w:rsidR="006C2E08" w:rsidRDefault="006C2E08" w:rsidP="006C2E08">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PARA</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INSCRIPCIÓN</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REGISTRO</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INSTITUCIONES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EDUCATIVAS</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ASISTENCIALES</w:t>
      </w:r>
    </w:p>
    <w:p w14:paraId="20A70C08" w14:textId="77777777" w:rsidR="006C2E08" w:rsidRDefault="006C2E08" w:rsidP="006C2E08">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GOBIERNO DE LA CIUDAD AUTÓNOMA DE BUENOS AIRES </w:t>
      </w:r>
    </w:p>
    <w:p w14:paraId="288735D9" w14:textId="43854049" w:rsidR="006C2E08" w:rsidRDefault="006C2E08" w:rsidP="006C2E08">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SECRETARÍA DE EDUCACIÓN</w:t>
      </w:r>
    </w:p>
    <w:p w14:paraId="66298F09" w14:textId="77777777" w:rsidR="006C2E08" w:rsidRDefault="006C2E08" w:rsidP="006C2E08">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636137DD" w14:textId="77777777" w:rsidR="006C2E08" w:rsidRDefault="006C2E08" w:rsidP="006C2E0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 3102 / 04</w:t>
      </w:r>
    </w:p>
    <w:p w14:paraId="23A91332" w14:textId="1411BB52" w:rsidR="006C2E08" w:rsidRDefault="006C2E08" w:rsidP="006C2E08">
      <w:pPr>
        <w:widowControl w:val="0"/>
        <w:autoSpaceDE w:val="0"/>
        <w:autoSpaceDN w:val="0"/>
        <w:adjustRightInd w:val="0"/>
        <w:spacing w:after="0" w:line="240" w:lineRule="auto"/>
        <w:ind w:right="-1"/>
        <w:rPr>
          <w:rFonts w:ascii="Times New Roman" w:hAnsi="Times New Roman" w:cs="Times New Roman"/>
          <w:b/>
          <w:bCs/>
          <w:kern w:val="1"/>
          <w:sz w:val="16"/>
          <w:szCs w:val="16"/>
          <w:lang w:val="es-ES"/>
        </w:rPr>
      </w:pPr>
    </w:p>
    <w:p w14:paraId="28522CF2" w14:textId="074BE4ED" w:rsidR="006C2E08" w:rsidRDefault="006C2E08" w:rsidP="006C2E08">
      <w:pPr>
        <w:widowControl w:val="0"/>
        <w:autoSpaceDE w:val="0"/>
        <w:autoSpaceDN w:val="0"/>
        <w:adjustRightInd w:val="0"/>
        <w:spacing w:before="7" w:after="0" w:line="240" w:lineRule="auto"/>
        <w:ind w:right="-1"/>
        <w:rPr>
          <w:rFonts w:ascii="Times New Roman" w:hAnsi="Times New Roman" w:cs="Times New Roman"/>
          <w:b/>
          <w:bCs/>
          <w:kern w:val="1"/>
          <w:sz w:val="25"/>
          <w:szCs w:val="25"/>
          <w:lang w:val="es-ES"/>
        </w:rPr>
      </w:pPr>
      <w:r>
        <w:rPr>
          <w:rFonts w:ascii="Times New Roman" w:hAnsi="Times New Roman" w:cs="Times New Roman"/>
          <w:b/>
          <w:bCs/>
          <w:noProof/>
          <w:kern w:val="1"/>
          <w:sz w:val="25"/>
          <w:szCs w:val="25"/>
          <w:lang w:val="es-ES" w:eastAsia="es-ES"/>
        </w:rPr>
        <mc:AlternateContent>
          <mc:Choice Requires="wps">
            <w:drawing>
              <wp:anchor distT="0" distB="0" distL="0" distR="0" simplePos="0" relativeHeight="251658240" behindDoc="1" locked="0" layoutInCell="1" allowOverlap="1" wp14:editId="059A0B0E">
                <wp:simplePos x="0" y="0"/>
                <wp:positionH relativeFrom="page">
                  <wp:posOffset>1773555</wp:posOffset>
                </wp:positionH>
                <wp:positionV relativeFrom="paragraph">
                  <wp:posOffset>108585</wp:posOffset>
                </wp:positionV>
                <wp:extent cx="4042410" cy="180975"/>
                <wp:effectExtent l="0" t="0" r="21590" b="22225"/>
                <wp:wrapThrough wrapText="bothSides">
                  <wp:wrapPolygon edited="0">
                    <wp:start x="0" y="0"/>
                    <wp:lineTo x="0" y="21221"/>
                    <wp:lineTo x="21580" y="21221"/>
                    <wp:lineTo x="21580"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A3F399" w14:textId="77777777" w:rsidR="006C2E08" w:rsidRDefault="006C2E08">
                            <w:pPr>
                              <w:spacing w:before="8"/>
                              <w:ind w:left="948" w:right="948"/>
                              <w:jc w:val="center"/>
                              <w:rPr>
                                <w:b/>
                                <w:sz w:val="19"/>
                              </w:rPr>
                            </w:pPr>
                            <w:r>
                              <w:rPr>
                                <w:b/>
                                <w:sz w:val="19"/>
                              </w:rPr>
                              <w:t>MODIFICADA POR LA RESOLUCIÓN N° 464 / 20005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139.65pt;margin-top:8.55pt;width:318.3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" filled="f" strokeweight="1.44pt">
                <v:textbox inset="0,0,0,0">
                  <w:txbxContent>
                    <w:p w14:paraId="30A3F399" w14:textId="77777777" w:rsidR="006C2E08" w:rsidRDefault="006C2E08">
                      <w:pPr>
                        <w:spacing w:before="8"/>
                        <w:ind w:left="948" w:right="948"/>
                        <w:jc w:val="center"/>
                        <w:rPr>
                          <w:b/>
                          <w:sz w:val="19"/>
                        </w:rPr>
                      </w:pPr>
                      <w:r>
                        <w:rPr>
                          <w:b/>
                          <w:sz w:val="19"/>
                        </w:rPr>
                        <w:t>MODIFICADA POR LA RESOLUCIÓN N° 464 / 20005</w:t>
                      </w:r>
                    </w:p>
                  </w:txbxContent>
                </v:textbox>
                <w10:wrap type="through" anchorx="page"/>
              </v:shape>
            </w:pict>
          </mc:Fallback>
        </mc:AlternateContent>
      </w:r>
    </w:p>
    <w:p w14:paraId="78F0F122" w14:textId="77777777" w:rsidR="006C2E08" w:rsidRDefault="006C2E08" w:rsidP="006C2E08">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p>
    <w:p w14:paraId="73931A33" w14:textId="77777777" w:rsidR="006C2E08" w:rsidRDefault="006C2E08" w:rsidP="006C2E08">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Buenos Aires, 28 de septiembre de 2004.</w:t>
      </w:r>
    </w:p>
    <w:p w14:paraId="6D611202" w14:textId="77777777" w:rsidR="006C2E08" w:rsidRDefault="006C2E08" w:rsidP="006C2E0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FFCBDC1" w14:textId="77777777" w:rsidR="006C2E08" w:rsidRDefault="006C2E08" w:rsidP="006C2E08">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064E8403" w14:textId="77777777" w:rsidR="006C2E08" w:rsidRDefault="006C2E08" w:rsidP="006C2E0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D2B2D3A" w14:textId="77777777" w:rsidR="006C2E08" w:rsidRDefault="006C2E08" w:rsidP="006C2E0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el Expediente N° 57.500/04; la Ley N° 621/LCABA; los Decretos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xml:space="preserve">. 1.089/GCABA/02 y 1.100/GCABA/04; las Resoluciones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xml:space="preserve">. 423/SED/03, 3.845/SED/03 y 3.019/SED/04; y las Disposiciones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555/DGEGP/04 y 627/DGEGP/04; y</w:t>
      </w:r>
    </w:p>
    <w:p w14:paraId="4C72D523" w14:textId="77777777" w:rsidR="006C2E08" w:rsidRDefault="006C2E08" w:rsidP="006C2E0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C6790CF" w14:textId="77777777" w:rsidR="006C2E08" w:rsidRDefault="006C2E08" w:rsidP="006C2E08">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5C2B3A20" w14:textId="77777777" w:rsidR="006C2E08" w:rsidRDefault="006C2E08" w:rsidP="006C2E08">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0161D13E" w14:textId="77777777" w:rsidR="006C2E08" w:rsidRDefault="006C2E08" w:rsidP="006C2E0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mediante la sanción de la Ley N° 621 se estableció la regulación de la habilitación, funcionamiento y supervisión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asistencial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incorporadas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oficial, destinadas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atención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población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infantil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cuarenta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(45)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años inclusive,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denominaciones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Jardín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Maternal,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Jardín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Infantes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Infantil;</w:t>
      </w:r>
    </w:p>
    <w:p w14:paraId="20A4F56B" w14:textId="77777777" w:rsidR="006C2E08" w:rsidRDefault="006C2E08" w:rsidP="006C2E0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367BEB2" w14:textId="77777777" w:rsidR="006C2E08" w:rsidRDefault="006C2E08" w:rsidP="006C2E0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conforme a la Cláusula Transitoria Quinta de la Ley N° 621 los establecimientos alcanzados por dicha norma y que se encuentren habilitados, deben inscribirse en forma obligatoria en el Registro de Instituciones Educativas Asistenciales;</w:t>
      </w:r>
    </w:p>
    <w:p w14:paraId="6E0B9A2D" w14:textId="77777777" w:rsidR="006C2E08" w:rsidRDefault="006C2E08" w:rsidP="006C2E0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E269AF8" w14:textId="77777777" w:rsidR="006C2E08" w:rsidRDefault="006C2E08" w:rsidP="006C2E0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 acuerdo a las cláusulas transitorias del Anexo III del Decreto N° 1.089/GCABA/02, los propietarios o responsables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preexistentes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621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presentarse a la autoridad de aplicación, atendiendo al cronograma que a efectos de una adecuada atención fije dicha autoridad,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obtener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empadronamiento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considerado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inicio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trámite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inscripción;</w:t>
      </w:r>
    </w:p>
    <w:p w14:paraId="3A140837" w14:textId="77777777" w:rsidR="006C2E08" w:rsidRDefault="006C2E08" w:rsidP="006C2E0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D8C03F1" w14:textId="77777777" w:rsidR="006C2E08" w:rsidRDefault="006C2E08" w:rsidP="006C2E0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1.100/GCABA/04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creado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Gestión Privada, el Registro de Instituciones Educativas Asistenciales y designado su Director, siendo de su competencia la implementación de la cláusula transitoria sobre inscripción obligatoria de los establecimientos habilitados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preexistentes;</w:t>
      </w:r>
    </w:p>
    <w:p w14:paraId="6F8005D8" w14:textId="77777777" w:rsidR="006C2E08" w:rsidRDefault="006C2E08" w:rsidP="006C2E0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D6D32BF" w14:textId="77777777" w:rsidR="006C2E08" w:rsidRDefault="006C2E08" w:rsidP="006C2E0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acorde a la reglamentación vigente es la autoridad de aplicación quien establece el cronograma a fin de iniciar los trámites de inscripción para el pertinente empadronamiento, necesario para continuar con el servicio;</w:t>
      </w:r>
    </w:p>
    <w:p w14:paraId="014085DC" w14:textId="77777777" w:rsidR="006C2E08" w:rsidRDefault="006C2E08" w:rsidP="006C2E0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35BEC71" w14:textId="77777777" w:rsidR="006C2E08" w:rsidRDefault="006C2E08" w:rsidP="006C2E0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Disposición N° 555/DGEGP/04 se ha iniciado un relevamiento de las Instituciones Educativas Asistenciales, que habrá de ser considerado como antecedente del empadronamiento dispuesto por el Decreto N° 1.089/GCABA/02;</w:t>
      </w:r>
    </w:p>
    <w:p w14:paraId="188A6247" w14:textId="77777777" w:rsidR="006C2E08" w:rsidRDefault="006C2E08" w:rsidP="006C2E0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FE8F7C1" w14:textId="77777777" w:rsidR="006C2E08" w:rsidRDefault="006C2E08" w:rsidP="006C2E0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atento a que dicha actividad es necesaria para cumplir acabadamente con las tareas que la normativa vigente ha conferido al Registro de Instituciones Educativas Asistenciales, por lo cual resulta imperioso extender nuevamente el plazo para cumplir con la inscripción obligatoria;</w:t>
      </w:r>
    </w:p>
    <w:p w14:paraId="77755A8C" w14:textId="77777777" w:rsidR="006C2E08" w:rsidRDefault="006C2E08" w:rsidP="006C2E08">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Disposición N° 627/DGEGP/04 se ha determinado que todas aquellas Instituciones Educativas Asistenciales que aún no hayan efectivizado debidamente el empadronamiento dispuesto por la Ley N° 621, se avengan a cumplir con el mismo, atento los plazos estipulados;</w:t>
      </w:r>
    </w:p>
    <w:p w14:paraId="6C1FB497" w14:textId="77777777" w:rsidR="006C2E08" w:rsidRDefault="006C2E08" w:rsidP="006C2E0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75FF387" w14:textId="77777777" w:rsidR="006C2E08" w:rsidRDefault="006C2E08" w:rsidP="006C2E0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habiéndose vencido el plazo previsto en el artículo 2° de la Resolución N° 3.845/SED/03, corresponde prorrogar el mismo a fin de continuar con las tareas encomendadas a la Dirección General de Educación de Gestión </w:t>
      </w:r>
      <w:r>
        <w:rPr>
          <w:rFonts w:ascii="Trebuchet MS" w:hAnsi="Trebuchet MS" w:cs="Trebuchet MS"/>
          <w:kern w:val="1"/>
          <w:sz w:val="19"/>
          <w:szCs w:val="19"/>
          <w:lang w:val="es-ES"/>
        </w:rPr>
        <w:lastRenderedPageBreak/>
        <w:t>Privada a través del Organismo Registro de Instituciones Educativas Asistenciales;</w:t>
      </w:r>
    </w:p>
    <w:p w14:paraId="570E4075" w14:textId="77777777" w:rsidR="006C2E08" w:rsidRDefault="006C2E08" w:rsidP="006C2E0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8CBAE1B" w14:textId="77777777" w:rsidR="006C2E08" w:rsidRDefault="006C2E08" w:rsidP="006C2E08">
      <w:pPr>
        <w:widowControl w:val="0"/>
        <w:autoSpaceDE w:val="0"/>
        <w:autoSpaceDN w:val="0"/>
        <w:adjustRightInd w:val="0"/>
        <w:spacing w:after="0" w:line="47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Coordinación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tomó</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debida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intervención; 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ello;</w:t>
      </w:r>
    </w:p>
    <w:p w14:paraId="18E32757" w14:textId="77777777" w:rsidR="006C2E08" w:rsidRDefault="006C2E08" w:rsidP="006C2E08">
      <w:pPr>
        <w:widowControl w:val="0"/>
        <w:autoSpaceDE w:val="0"/>
        <w:autoSpaceDN w:val="0"/>
        <w:adjustRightInd w:val="0"/>
        <w:spacing w:before="109" w:after="0" w:line="35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SECRETARÍA DE EDUCACIÓN RESUELVE:</w:t>
      </w:r>
    </w:p>
    <w:p w14:paraId="5D68ECCD" w14:textId="77777777" w:rsidR="006C2E08" w:rsidRDefault="006C2E08" w:rsidP="006C2E08">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1D515728" w14:textId="77777777" w:rsidR="006C2E08" w:rsidRDefault="006C2E08" w:rsidP="006C2E0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1°</w:t>
      </w:r>
      <w:r>
        <w:rPr>
          <w:rFonts w:ascii="Trebuchet MS" w:hAnsi="Trebuchet MS" w:cs="Trebuchet MS"/>
          <w:b/>
          <w:bCs/>
          <w:spacing w:val="-5"/>
          <w:kern w:val="1"/>
          <w:sz w:val="19"/>
          <w:szCs w:val="19"/>
          <w:lang w:val="es-ES"/>
        </w:rPr>
        <w:t xml:space="preserve"> </w:t>
      </w:r>
      <w:r>
        <w:rPr>
          <w:rFonts w:ascii="Times New Roman" w:hAnsi="Times New Roman" w:cs="Times New Roman"/>
          <w:b/>
          <w:bCs/>
          <w:kern w:val="1"/>
          <w:sz w:val="19"/>
          <w:szCs w:val="19"/>
          <w:lang w:val="es-ES"/>
        </w:rPr>
        <w:t>-</w:t>
      </w:r>
      <w:r>
        <w:rPr>
          <w:rFonts w:ascii="Trebuchet MS" w:hAnsi="Trebuchet MS" w:cs="Trebuchet MS"/>
          <w:b/>
          <w:bCs/>
          <w:spacing w:val="-4"/>
          <w:kern w:val="1"/>
          <w:sz w:val="19"/>
          <w:szCs w:val="19"/>
          <w:lang w:val="es-ES"/>
        </w:rPr>
        <w:t xml:space="preserve"> </w:t>
      </w:r>
      <w:proofErr w:type="spellStart"/>
      <w:r>
        <w:rPr>
          <w:rFonts w:ascii="Trebuchet MS" w:hAnsi="Trebuchet MS" w:cs="Trebuchet MS"/>
          <w:kern w:val="1"/>
          <w:sz w:val="19"/>
          <w:szCs w:val="19"/>
          <w:lang w:val="es-ES"/>
        </w:rPr>
        <w:t>Prorrógase</w:t>
      </w:r>
      <w:proofErr w:type="spellEnd"/>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cincuenta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(150)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septiembre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plazo originalmente previsto en la Cláusula Transitoria Quinta de la Ley N° 621 (B.O.C.B.A. N° 1269), oportunamente prorrogado mediante Resoluciones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423/SED/03 y</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3.845/SED/03.</w:t>
      </w:r>
    </w:p>
    <w:p w14:paraId="54895579" w14:textId="77777777" w:rsidR="006C2E08" w:rsidRDefault="006C2E08" w:rsidP="006C2E0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3A0E8C9" w14:textId="77777777" w:rsidR="006C2E08" w:rsidRDefault="006C2E08" w:rsidP="006C2E08">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3F0F3B17" w14:textId="77777777" w:rsidR="006C2E08" w:rsidRDefault="006C2E08" w:rsidP="006C2E0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65AB38D" w14:textId="77777777" w:rsidR="006C2E08" w:rsidRDefault="006C2E08" w:rsidP="006C2E08">
      <w:pPr>
        <w:widowControl w:val="0"/>
        <w:autoSpaceDE w:val="0"/>
        <w:autoSpaceDN w:val="0"/>
        <w:adjustRightInd w:val="0"/>
        <w:spacing w:after="0" w:line="237" w:lineRule="auto"/>
        <w:ind w:right="-1"/>
        <w:jc w:val="both"/>
        <w:rPr>
          <w:rFonts w:ascii="Trebuchet MS" w:hAnsi="Trebuchet MS" w:cs="Trebuchet MS"/>
          <w:kern w:val="1"/>
          <w:sz w:val="15"/>
          <w:szCs w:val="15"/>
          <w:lang w:val="es-ES"/>
        </w:rPr>
      </w:pPr>
      <w:r>
        <w:rPr>
          <w:rFonts w:ascii="Trebuchet MS" w:hAnsi="Trebuchet MS" w:cs="Trebuchet MS"/>
          <w:b/>
          <w:bCs/>
          <w:kern w:val="1"/>
          <w:sz w:val="19"/>
          <w:szCs w:val="19"/>
          <w:lang w:val="es-ES"/>
        </w:rPr>
        <w:t xml:space="preserve">Artículo 2° -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al Registro, publíquese en el Boletín Oficial de la Ciudad de Buenos Aires, comuníquese por copia a las Subsecretarías de Educación y de Coordinación de Recursos y Acción Comunitaria y a las Direcciones Generales de Educación de Gestión Privada, de Educación, de Educación Superior; de Coordinación Financiera y Contable, de Coordinación Legal e Institucional y de Habilitaciones y Permisos dependiente de la Subsecretaría de Control Comunal de la Secretaría de Justicia y Seguridad Urbana. Cumplido, archívese. </w:t>
      </w:r>
      <w:r>
        <w:rPr>
          <w:rFonts w:ascii="Trebuchet MS" w:hAnsi="Trebuchet MS" w:cs="Trebuchet MS"/>
          <w:kern w:val="1"/>
          <w:sz w:val="15"/>
          <w:szCs w:val="15"/>
          <w:lang w:val="es-ES"/>
        </w:rPr>
        <w:t>PERAZZA.</w:t>
      </w:r>
    </w:p>
    <w:p w14:paraId="6CDB0543" w14:textId="39F7095A" w:rsidR="00592F1B" w:rsidRPr="00AC3BA6" w:rsidRDefault="00592F1B" w:rsidP="006C2E0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C2E08"/>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3607</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2021-05-28T18:35:00Z</dcterms:created>
  <dcterms:modified xsi:type="dcterms:W3CDTF">2021-05-28T18:35:00Z</dcterms:modified>
</cp:coreProperties>
</file>