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D835C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p w14:paraId="1C1547D3" w14:textId="77777777" w:rsidR="00870607" w:rsidRDefault="00870607" w:rsidP="0087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2DAB143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ESTABLÉCENSE DESTINATARIOS DEL TÍTULO "PROFESOR DE NIVEL PRIMARIO/ EDUCACIÓN </w:t>
      </w:r>
    </w:p>
    <w:p w14:paraId="7771369A" w14:textId="0ACF1D54" w:rsidR="00870607" w:rsidRDefault="00870607" w:rsidP="00870607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GENERAL BÁSICA DE PRIMER Y SEGUNDO CICLO" Y ALCANCES DEL MISMO</w:t>
      </w:r>
    </w:p>
    <w:p w14:paraId="3A3F82F7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484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AIRES </w:t>
      </w:r>
    </w:p>
    <w:p w14:paraId="76496BC2" w14:textId="31901BC4" w:rsidR="00870607" w:rsidRDefault="00870607" w:rsidP="00870607">
      <w:pPr>
        <w:widowControl w:val="0"/>
        <w:autoSpaceDE w:val="0"/>
        <w:autoSpaceDN w:val="0"/>
        <w:adjustRightInd w:val="0"/>
        <w:spacing w:after="0" w:line="484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SECRETARIA 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</w:p>
    <w:p w14:paraId="79B7D9EC" w14:textId="77777777" w:rsidR="00870607" w:rsidRDefault="00870607" w:rsidP="00870607">
      <w:pPr>
        <w:widowControl w:val="0"/>
        <w:autoSpaceDE w:val="0"/>
        <w:autoSpaceDN w:val="0"/>
        <w:adjustRightInd w:val="0"/>
        <w:spacing w:before="47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3711 /</w:t>
      </w:r>
      <w:r>
        <w:rPr>
          <w:rFonts w:ascii="Trebuchet MS" w:hAnsi="Trebuchet MS" w:cs="Trebuchet MS"/>
          <w:b/>
          <w:bCs/>
          <w:spacing w:val="-4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2002</w:t>
      </w:r>
    </w:p>
    <w:p w14:paraId="1D303B08" w14:textId="77777777" w:rsidR="00870607" w:rsidRDefault="00870607" w:rsidP="0087060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E5564F7" w14:textId="77777777" w:rsidR="00870607" w:rsidRDefault="00870607" w:rsidP="0087060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20 de diciembre de 2002.</w:t>
      </w:r>
    </w:p>
    <w:p w14:paraId="0D0F4761" w14:textId="77777777" w:rsidR="00870607" w:rsidRDefault="00870607" w:rsidP="0087060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1E31FA14" w14:textId="77777777" w:rsidR="00870607" w:rsidRDefault="00870607" w:rsidP="00870607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Carpeta Nº 5.127/SED/02, la Resolución del Consejo Federal Nº 63/97, las Resoluciones de la Secretaría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2.170/01,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270/02,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1.230/02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505/02,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214/DGES/02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y,</w:t>
      </w:r>
    </w:p>
    <w:p w14:paraId="7E53A0B0" w14:textId="77777777" w:rsidR="00870607" w:rsidRDefault="00870607" w:rsidP="00870607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9486E74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1AC25559" w14:textId="77777777" w:rsidR="00870607" w:rsidRDefault="00870607" w:rsidP="0087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1D992D36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tramita por las actuaciones del Visto la constitución de la Unidad de Evaluación, la que tendrá a su cargo la evaluación de la Carrera de Formación Docente para el Nivel Primario, constituyendo esta situación el antecedente requerido por la Resolución Nº 83/98 del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CFCyE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siendo además el fundamento para otorgar la validez nacional de los estudios y títulos por parte del Ministerio de Educación Nacional;</w:t>
      </w:r>
    </w:p>
    <w:p w14:paraId="18682FC9" w14:textId="77777777" w:rsidR="00870607" w:rsidRDefault="00870607" w:rsidP="0087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FFDEA37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Resolución Nº 2.540/98 establece los requisitos que deberán cumplir los títulos y certificados docentes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extiendan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universitario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 validez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nacional,</w:t>
      </w:r>
    </w:p>
    <w:p w14:paraId="7B0F22A8" w14:textId="77777777" w:rsidR="00870607" w:rsidRDefault="00870607" w:rsidP="0087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B18FC7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el año 2002 se han comenzado a aplicar en la Ciudad de Buenos Aires los planes de Estudios de las carreras de Formación Docente de Nivel Primario/Enseñanza General Básica de Primer y Segundo ciclo 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estatal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autorizadas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efectos;</w:t>
      </w:r>
    </w:p>
    <w:p w14:paraId="4CE58BCD" w14:textId="77777777" w:rsidR="00870607" w:rsidRDefault="00870607" w:rsidP="0087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D310E64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dichos Planes de Estudio guardan relación con los Lineamientos Curriculares y con los Criterios Curriculares para la formación Docente de la Ciudad, aprobados mediante las Resoluciones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2.170/SED/01, 505/SED/02 y 1.230/SED/02;</w:t>
      </w:r>
    </w:p>
    <w:p w14:paraId="7E01E0C6" w14:textId="77777777" w:rsidR="00870607" w:rsidRDefault="00870607" w:rsidP="0087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91912F4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del régimen de equivalencias de estudios establecido mediante Disposición Nº 214/DGES/02 y entre los planes aprobados por las Resoluciones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270/02 y 287/73 que son dictados por Institutos de Formación Docente de gestión estatal, surge que en el corriente año se recibirán nuevos egresados del Plan de Estudios aprobado por Resolución Nº 270/02;</w:t>
      </w:r>
    </w:p>
    <w:p w14:paraId="41F8DA68" w14:textId="77777777" w:rsidR="00870607" w:rsidRDefault="00870607" w:rsidP="0087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2DF915D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Sistema Educativo de la Ciudad de Buenos Aires mantiene en su estructura actual el Nivel Primario y por lo tanto debe continuar emitiendo la titulación de sus docentes con esa denominación;</w:t>
      </w:r>
    </w:p>
    <w:p w14:paraId="55D85E7F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atento a que otras jurisdicciones han adoptado la estructura de Educación General Básica acordada federalmente, resulta necesario equiparar la titulación docente a esa estructura a efectos de su validez nacional;</w:t>
      </w:r>
    </w:p>
    <w:p w14:paraId="68AE1371" w14:textId="77777777" w:rsidR="00870607" w:rsidRDefault="00870607" w:rsidP="0087060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2CB6B5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ha tomado debida intervención la Subsecretaría de Educación del Gobierno de la Ciudad Autónoma de Buenos Aires en el ámbito de su respectiva competencia;</w:t>
      </w:r>
    </w:p>
    <w:p w14:paraId="436A23BB" w14:textId="77777777" w:rsidR="00870607" w:rsidRDefault="00870607" w:rsidP="0087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9E99F03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uso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facultades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propias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(Art.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101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Constitución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 Autónoma de Buenos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Aires),</w:t>
      </w:r>
    </w:p>
    <w:p w14:paraId="72862D5F" w14:textId="77777777" w:rsidR="00870607" w:rsidRDefault="00870607" w:rsidP="00870607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20879C4F" w14:textId="77777777" w:rsidR="00870607" w:rsidRDefault="00870607" w:rsidP="00870607">
      <w:pPr>
        <w:widowControl w:val="0"/>
        <w:autoSpaceDE w:val="0"/>
        <w:autoSpaceDN w:val="0"/>
        <w:adjustRightInd w:val="0"/>
        <w:spacing w:before="99" w:after="0" w:line="47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EDUCACIÓN RESUELVE:</w:t>
      </w:r>
    </w:p>
    <w:p w14:paraId="0D8453DA" w14:textId="77777777" w:rsidR="00870607" w:rsidRDefault="00870607" w:rsidP="00870607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el título de "Profesor de Nivel Primario / Educación General Básica de primer y segundo ciclo" será otorgado a los alumnos egresados de las carreras de Formación Docente de</w:t>
      </w:r>
      <w:r>
        <w:rPr>
          <w:rFonts w:ascii="Trebuchet MS" w:hAnsi="Trebuchet MS" w:cs="Trebuchet MS"/>
          <w:spacing w:val="-3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Nivel Primario aprobadas por Resoluciones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2.170/SED/01 y 505/SED/02, cursadas en las instituciones de gestión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estatal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implementación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Planes.</w:t>
      </w:r>
    </w:p>
    <w:p w14:paraId="28917ACF" w14:textId="77777777" w:rsidR="00870607" w:rsidRDefault="00870607" w:rsidP="0087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0211BE8" w14:textId="77777777" w:rsidR="00870607" w:rsidRDefault="00870607" w:rsidP="0087060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Determínase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la titulación mencionada en el artículo precedente tendrá los siguientes alcances:</w:t>
      </w:r>
    </w:p>
    <w:p w14:paraId="413882C6" w14:textId="77777777" w:rsidR="00870607" w:rsidRDefault="00870607" w:rsidP="0087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FFDCA8F" w14:textId="77777777" w:rsidR="00870607" w:rsidRDefault="00870607" w:rsidP="00870607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</w:pPr>
      <w:r>
        <w:rPr>
          <w:rFonts w:ascii="ヒラギノ角ゴシック W3" w:eastAsia="ヒラギノ角ゴシック W3" w:hAnsi="Times New Roman" w:cs="ヒラギノ角ゴシック W3" w:hint="eastAsia"/>
          <w:kern w:val="1"/>
          <w:sz w:val="19"/>
          <w:szCs w:val="19"/>
          <w:lang w:val="es-ES"/>
        </w:rPr>
        <w:t>♣</w:t>
      </w:r>
      <w:r>
        <w:rPr>
          <w:rFonts w:ascii="Wingdings" w:eastAsia="ヒラギノ角ゴシック W3" w:hAnsi="Wingdings" w:cs="Wingdings"/>
          <w:kern w:val="1"/>
          <w:sz w:val="19"/>
          <w:szCs w:val="19"/>
          <w:lang w:val="es-ES"/>
        </w:rPr>
        <w:tab/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 xml:space="preserve">Diseñar, conducir y evaluar la enseñanza en el primer y el segundo ciclo de la Educación General Básica, </w:t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lastRenderedPageBreak/>
        <w:t>y/o en los grados de 1° a 7° de la educación de Nivel Primario de la actual estructura del Sistema Educativo de la Ciudad de Buenos</w:t>
      </w:r>
      <w:r>
        <w:rPr>
          <w:rFonts w:ascii="Trebuchet MS" w:eastAsia="ヒラギノ角ゴシック W3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Aires;</w:t>
      </w:r>
    </w:p>
    <w:p w14:paraId="3650A79E" w14:textId="77777777" w:rsidR="00870607" w:rsidRDefault="00870607" w:rsidP="00870607">
      <w:pPr>
        <w:widowControl w:val="0"/>
        <w:tabs>
          <w:tab w:val="left" w:pos="785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</w:pPr>
      <w:r>
        <w:rPr>
          <w:rFonts w:ascii="ヒラギノ角ゴシック W3" w:eastAsia="ヒラギノ角ゴシック W3" w:hAnsi="Trebuchet MS" w:cs="ヒラギノ角ゴシック W3" w:hint="eastAsia"/>
          <w:kern w:val="1"/>
          <w:sz w:val="19"/>
          <w:szCs w:val="19"/>
          <w:lang w:val="es-ES"/>
        </w:rPr>
        <w:t>♣</w:t>
      </w:r>
      <w:r>
        <w:rPr>
          <w:rFonts w:ascii="Wingdings" w:eastAsia="ヒラギノ角ゴシック W3" w:hAnsi="Wingdings" w:cs="Wingdings"/>
          <w:kern w:val="1"/>
          <w:sz w:val="19"/>
          <w:szCs w:val="19"/>
          <w:lang w:val="es-ES"/>
        </w:rPr>
        <w:tab/>
      </w:r>
      <w:proofErr w:type="gramStart"/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Promover</w:t>
      </w:r>
      <w:proofErr w:type="gramEnd"/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 xml:space="preserve"> y evaluar procesos y resultados de aprendizaje, reorientando la enseñanza en función de los mismos y de las finalidades</w:t>
      </w:r>
      <w:r>
        <w:rPr>
          <w:rFonts w:ascii="Trebuchet MS" w:eastAsia="ヒラギノ角ゴシック W3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asumidas;</w:t>
      </w:r>
    </w:p>
    <w:p w14:paraId="4F3B1FCE" w14:textId="77777777" w:rsidR="00870607" w:rsidRDefault="00870607" w:rsidP="00870607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18" w:lineRule="exact"/>
        <w:ind w:left="360" w:right="-1"/>
        <w:jc w:val="both"/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</w:pPr>
      <w:r>
        <w:rPr>
          <w:rFonts w:ascii="ヒラギノ角ゴシック W3" w:eastAsia="ヒラギノ角ゴシック W3" w:hAnsi="Trebuchet MS" w:cs="ヒラギノ角ゴシック W3" w:hint="eastAsia"/>
          <w:kern w:val="1"/>
          <w:sz w:val="19"/>
          <w:szCs w:val="19"/>
          <w:lang w:val="es-ES"/>
        </w:rPr>
        <w:t>♣</w:t>
      </w:r>
      <w:r>
        <w:rPr>
          <w:rFonts w:ascii="Wingdings" w:eastAsia="ヒラギノ角ゴシック W3" w:hAnsi="Wingdings" w:cs="Wingdings"/>
          <w:kern w:val="1"/>
          <w:sz w:val="19"/>
          <w:szCs w:val="19"/>
          <w:lang w:val="es-ES"/>
        </w:rPr>
        <w:tab/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Participar en la definición de proyectos</w:t>
      </w:r>
      <w:r>
        <w:rPr>
          <w:rFonts w:ascii="Trebuchet MS" w:eastAsia="ヒラギノ角ゴシック W3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institucionales;</w:t>
      </w:r>
    </w:p>
    <w:p w14:paraId="2A3FFFA6" w14:textId="77777777" w:rsidR="00870607" w:rsidRDefault="00870607" w:rsidP="00870607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20" w:lineRule="exact"/>
        <w:ind w:left="360" w:right="-1"/>
        <w:jc w:val="both"/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</w:pPr>
      <w:proofErr w:type="gramStart"/>
      <w:r>
        <w:rPr>
          <w:rFonts w:ascii="ヒラギノ角ゴシック W3" w:eastAsia="ヒラギノ角ゴシック W3" w:hAnsi="Trebuchet MS" w:cs="ヒラギノ角ゴシック W3" w:hint="eastAsia"/>
          <w:kern w:val="1"/>
          <w:sz w:val="19"/>
          <w:szCs w:val="19"/>
          <w:lang w:val="es-ES"/>
        </w:rPr>
        <w:t>♣</w:t>
      </w:r>
      <w:r>
        <w:rPr>
          <w:rFonts w:ascii="Wingdings" w:eastAsia="ヒラギノ角ゴシック W3" w:hAnsi="Wingdings" w:cs="Wingdings"/>
          <w:kern w:val="1"/>
          <w:sz w:val="19"/>
          <w:szCs w:val="19"/>
          <w:lang w:val="es-ES"/>
        </w:rPr>
        <w:tab/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Trabajar cooperativamente con las familias y comunidad</w:t>
      </w:r>
      <w:r>
        <w:rPr>
          <w:rFonts w:ascii="Trebuchet MS" w:eastAsia="ヒラギノ角ゴシック W3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educativa.</w:t>
      </w:r>
      <w:proofErr w:type="gramEnd"/>
    </w:p>
    <w:p w14:paraId="743F46AA" w14:textId="77777777" w:rsidR="00870607" w:rsidRDefault="00870607" w:rsidP="0087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eastAsia="ヒラギノ角ゴシック W3" w:hAnsi="Times New Roman" w:cs="Times New Roman"/>
          <w:kern w:val="1"/>
          <w:sz w:val="18"/>
          <w:szCs w:val="18"/>
          <w:lang w:val="es-ES"/>
        </w:rPr>
      </w:pPr>
    </w:p>
    <w:p w14:paraId="3A86CCE9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eastAsia="ヒラギノ角ゴシック W3" w:hAnsi="Times New Roman" w:cs="Times New Roman"/>
          <w:kern w:val="1"/>
          <w:sz w:val="19"/>
          <w:szCs w:val="19"/>
          <w:lang w:val="es-ES"/>
        </w:rPr>
      </w:pPr>
    </w:p>
    <w:p w14:paraId="4045B83C" w14:textId="77777777" w:rsidR="00870607" w:rsidRDefault="00870607" w:rsidP="0087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</w:pPr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 xml:space="preserve">Artículo 3° - Regístrese. Publíquese en el Boletín Oficial de la Ciudad de Buenos Aires. Comuníquese por copia a las Subsecretarías de Educación y de Coordinación de Recursos y Acción Comunitaria, a las Direcciones Generales de Educación, de Educación Superior, de Gestión Privada, de Planeamiento, de Coordinación Legal e Institucional y de Coordinación Financiera y Contable y a la Dirección de </w:t>
      </w:r>
      <w:proofErr w:type="spellStart"/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Currícula</w:t>
      </w:r>
      <w:proofErr w:type="spellEnd"/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 xml:space="preserve">. Cumplido, archívese. </w:t>
      </w:r>
      <w:proofErr w:type="spellStart"/>
      <w:r>
        <w:rPr>
          <w:rFonts w:ascii="Trebuchet MS" w:eastAsia="ヒラギノ角ゴシック W3" w:hAnsi="Trebuchet MS" w:cs="Trebuchet MS"/>
          <w:kern w:val="1"/>
          <w:sz w:val="19"/>
          <w:szCs w:val="19"/>
          <w:lang w:val="es-ES"/>
        </w:rPr>
        <w:t>Filmus</w:t>
      </w:r>
      <w:proofErr w:type="spellEnd"/>
    </w:p>
    <w:p w14:paraId="6CDB0543" w14:textId="39F7095A" w:rsidR="00592F1B" w:rsidRPr="00AC3BA6" w:rsidRDefault="00592F1B" w:rsidP="0087060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2"/>
    <w:lvlOverride w:ilvl="1">
      <w:startOverride w:val="5"/>
    </w:lvlOverride>
  </w:num>
  <w:num w:numId="9">
    <w:abstractNumId w:val="2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70607"/>
    <w:rsid w:val="00905D9F"/>
    <w:rsid w:val="00A53D64"/>
    <w:rsid w:val="00AC3BA6"/>
    <w:rsid w:val="00B21F6A"/>
    <w:rsid w:val="00B64518"/>
    <w:rsid w:val="00B6751E"/>
    <w:rsid w:val="00B91930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3616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2021-05-28T18:50:00Z</dcterms:created>
  <dcterms:modified xsi:type="dcterms:W3CDTF">2021-05-28T18:50:00Z</dcterms:modified>
</cp:coreProperties>
</file>