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EA88A" w14:textId="77777777" w:rsidR="00AA79D3" w:rsidRPr="007640BB" w:rsidRDefault="00AA79D3" w:rsidP="00AA79D3">
      <w:pPr>
        <w:rPr>
          <w:rFonts w:ascii="Trebuchet MS" w:hAnsi="Trebuchet MS" w:cs="Arial"/>
        </w:rPr>
      </w:pPr>
    </w:p>
    <w:p w14:paraId="08B70FF6" w14:textId="77777777" w:rsidR="00AA79D3" w:rsidRDefault="00AA79D3" w:rsidP="00AA79D3">
      <w:pPr>
        <w:jc w:val="center"/>
        <w:rPr>
          <w:rFonts w:ascii="Trebuchet MS" w:hAnsi="Trebuchet MS"/>
          <w:b/>
        </w:rPr>
      </w:pPr>
      <w:bookmarkStart w:id="0" w:name="_GoBack"/>
      <w:bookmarkEnd w:id="0"/>
      <w:r>
        <w:rPr>
          <w:rFonts w:ascii="Trebuchet MS" w:hAnsi="Trebuchet MS"/>
          <w:b/>
        </w:rPr>
        <w:t>DICTAMEN SOBRE LICENCIA POR CARGO DE MAYOR JERARQUÍA</w:t>
      </w:r>
    </w:p>
    <w:p w14:paraId="71EBF827" w14:textId="77777777" w:rsidR="00AA79D3" w:rsidRDefault="00AA79D3" w:rsidP="00AA79D3">
      <w:pPr>
        <w:jc w:val="center"/>
        <w:rPr>
          <w:rFonts w:ascii="Trebuchet MS" w:hAnsi="Trebuchet MS"/>
          <w:b/>
        </w:rPr>
      </w:pPr>
    </w:p>
    <w:p w14:paraId="049BDB52" w14:textId="77777777" w:rsidR="00AA79D3" w:rsidRDefault="00AA79D3" w:rsidP="00AA79D3">
      <w:pPr>
        <w:jc w:val="center"/>
        <w:rPr>
          <w:rFonts w:ascii="Trebuchet MS" w:hAnsi="Trebuchet MS"/>
          <w:b/>
        </w:rPr>
      </w:pPr>
      <w:r>
        <w:rPr>
          <w:rFonts w:ascii="Trebuchet MS" w:hAnsi="Trebuchet MS"/>
          <w:b/>
        </w:rPr>
        <w:t>CONSEJO GREMIAL DE ENSEÑANZA PRIVADA</w:t>
      </w:r>
    </w:p>
    <w:p w14:paraId="6A3982AC" w14:textId="77777777" w:rsidR="00AA79D3" w:rsidRDefault="00AA79D3" w:rsidP="00AA79D3">
      <w:pPr>
        <w:jc w:val="center"/>
        <w:rPr>
          <w:rFonts w:ascii="Trebuchet MS" w:hAnsi="Trebuchet MS"/>
          <w:b/>
        </w:rPr>
      </w:pPr>
    </w:p>
    <w:p w14:paraId="3B56EEEE" w14:textId="77777777" w:rsidR="00AA79D3" w:rsidRDefault="00AA79D3" w:rsidP="00AA79D3">
      <w:pPr>
        <w:jc w:val="center"/>
        <w:rPr>
          <w:rFonts w:ascii="Trebuchet MS" w:hAnsi="Trebuchet MS"/>
          <w:b/>
        </w:rPr>
      </w:pPr>
      <w:r>
        <w:rPr>
          <w:rFonts w:ascii="Trebuchet MS" w:hAnsi="Trebuchet MS"/>
          <w:b/>
        </w:rPr>
        <w:t>RESOLUCIÓN Nº 421 / 89</w:t>
      </w:r>
    </w:p>
    <w:p w14:paraId="1118F043" w14:textId="77777777" w:rsidR="00AA79D3" w:rsidRDefault="00AA79D3" w:rsidP="00AA79D3">
      <w:pPr>
        <w:jc w:val="center"/>
        <w:rPr>
          <w:rFonts w:ascii="Trebuchet MS" w:hAnsi="Trebuchet MS"/>
        </w:rPr>
      </w:pPr>
    </w:p>
    <w:p w14:paraId="04C5FEFA" w14:textId="77777777" w:rsidR="00AA79D3" w:rsidRDefault="00AA79D3" w:rsidP="00AA79D3">
      <w:pPr>
        <w:jc w:val="center"/>
        <w:rPr>
          <w:rFonts w:ascii="Trebuchet MS" w:hAnsi="Trebuchet MS"/>
        </w:rPr>
      </w:pPr>
    </w:p>
    <w:p w14:paraId="3AD37EFC" w14:textId="77777777" w:rsidR="00AA79D3" w:rsidRDefault="00AA79D3" w:rsidP="00AA79D3">
      <w:pPr>
        <w:jc w:val="both"/>
        <w:rPr>
          <w:rFonts w:ascii="Trebuchet MS" w:hAnsi="Trebuchet MS"/>
          <w:b/>
        </w:rPr>
      </w:pPr>
      <w:r>
        <w:rPr>
          <w:rFonts w:ascii="Trebuchet MS" w:hAnsi="Trebuchet MS"/>
          <w:b/>
        </w:rPr>
        <w:t>VISTO:</w:t>
      </w:r>
    </w:p>
    <w:p w14:paraId="5EBB4BEF" w14:textId="77777777" w:rsidR="00AA79D3" w:rsidRDefault="00AA79D3" w:rsidP="00AA79D3">
      <w:pPr>
        <w:jc w:val="both"/>
        <w:rPr>
          <w:rFonts w:ascii="Trebuchet MS" w:hAnsi="Trebuchet MS"/>
        </w:rPr>
      </w:pPr>
    </w:p>
    <w:p w14:paraId="525CE71D" w14:textId="77777777" w:rsidR="00AA79D3" w:rsidRDefault="00AA79D3" w:rsidP="00AA79D3">
      <w:pPr>
        <w:ind w:firstLine="709"/>
        <w:jc w:val="both"/>
        <w:rPr>
          <w:rFonts w:ascii="Trebuchet MS" w:hAnsi="Trebuchet MS"/>
        </w:rPr>
      </w:pPr>
      <w:r>
        <w:rPr>
          <w:rFonts w:ascii="Trebuchet MS" w:hAnsi="Trebuchet MS"/>
        </w:rPr>
        <w:t>La consulta que efectúa a fs.1, la maestra de grado titular de la escuela N.N. solicitando a este Consejo Gremial de Enseñanza Privada, que la asesore acerca del derecho que pudiese asistirla con respecto a la denegatoria que la citada escuela opone a su pedido de licencia, que, por ejercicio de cargo de mayor jerarquía remunerativa, por Art. 13º apartado II, Inc. e), del decreto 3413/79 (Régimen de Licencias, Justificaciones y Franquicias), la misma interpusiera, a partir del 15 de mayo de 1989, para desempeñarse en una suplencia, en un cargo de maestra de grado, dependiente de la municipalidad de la ciudad de Buenos Aires, donde, en ese momento percibía mayor remuneración y,</w:t>
      </w:r>
    </w:p>
    <w:p w14:paraId="511B34D3" w14:textId="77777777" w:rsidR="00AA79D3" w:rsidRDefault="00AA79D3" w:rsidP="00AA79D3">
      <w:pPr>
        <w:ind w:firstLine="709"/>
        <w:jc w:val="both"/>
        <w:rPr>
          <w:rFonts w:ascii="Trebuchet MS" w:hAnsi="Trebuchet MS"/>
        </w:rPr>
      </w:pPr>
    </w:p>
    <w:p w14:paraId="1BC67512" w14:textId="77777777" w:rsidR="00AA79D3" w:rsidRDefault="00AA79D3" w:rsidP="00AA79D3">
      <w:pPr>
        <w:rPr>
          <w:rFonts w:ascii="Trebuchet MS" w:hAnsi="Trebuchet MS"/>
        </w:rPr>
      </w:pPr>
    </w:p>
    <w:p w14:paraId="2785F507" w14:textId="77777777" w:rsidR="00AA79D3" w:rsidRDefault="00AA79D3" w:rsidP="00AA79D3">
      <w:pPr>
        <w:jc w:val="both"/>
        <w:rPr>
          <w:rFonts w:ascii="Trebuchet MS" w:hAnsi="Trebuchet MS"/>
          <w:b/>
        </w:rPr>
      </w:pPr>
      <w:r>
        <w:rPr>
          <w:rFonts w:ascii="Trebuchet MS" w:hAnsi="Trebuchet MS"/>
          <w:b/>
        </w:rPr>
        <w:t>CONSIDERANDO:</w:t>
      </w:r>
    </w:p>
    <w:p w14:paraId="5915DDF1" w14:textId="77777777" w:rsidR="00AA79D3" w:rsidRDefault="00AA79D3" w:rsidP="00AA79D3">
      <w:pPr>
        <w:rPr>
          <w:rFonts w:ascii="Trebuchet MS" w:hAnsi="Trebuchet MS"/>
        </w:rPr>
      </w:pPr>
    </w:p>
    <w:p w14:paraId="36F03C92" w14:textId="77777777" w:rsidR="00AA79D3" w:rsidRDefault="00AA79D3" w:rsidP="00AA79D3">
      <w:pPr>
        <w:ind w:firstLine="709"/>
        <w:jc w:val="both"/>
        <w:rPr>
          <w:rFonts w:ascii="Trebuchet MS" w:hAnsi="Trebuchet MS"/>
        </w:rPr>
      </w:pPr>
      <w:r>
        <w:rPr>
          <w:rFonts w:ascii="Trebuchet MS" w:hAnsi="Trebuchet MS"/>
        </w:rPr>
        <w:t xml:space="preserve">Que la recurrente considera que es de aplicación a su pedido, </w:t>
      </w:r>
      <w:proofErr w:type="gramStart"/>
      <w:r>
        <w:rPr>
          <w:rFonts w:ascii="Trebuchet MS" w:hAnsi="Trebuchet MS"/>
        </w:rPr>
        <w:t>tal</w:t>
      </w:r>
      <w:proofErr w:type="gramEnd"/>
      <w:r>
        <w:rPr>
          <w:rFonts w:ascii="Trebuchet MS" w:hAnsi="Trebuchet MS"/>
        </w:rPr>
        <w:t xml:space="preserve"> como consigna en su nota de consulta, el citado Art. 13º, apartado II, Inc. e), del decreto 3413/79, que otorga licencia por cargo de mayor jerarquía, sin goce de haberes, a quien se encuadre en los términos del mismo, que dice textualmente: “Al personal amparado por estabilidad, que fuera designado para desempeñarse en un cargo de mayor jerarquía, sin estabilidad, incluidos los de carácter docente, en el orden nacional, y que por tal circunstancia quedare en situación de incompatibilidad, se le acordará licencia sin goce de sueldo en la función que deje de ejercer por tal motivo; por el término que dure esta situación. </w:t>
      </w:r>
      <w:proofErr w:type="gramStart"/>
      <w:r>
        <w:rPr>
          <w:rFonts w:ascii="Trebuchet MS" w:hAnsi="Trebuchet MS"/>
        </w:rPr>
        <w:t>Cuando el orden jerárquico, no pueda determinarse deberá tratarse de un puesto de mayor remuneración”.</w:t>
      </w:r>
      <w:proofErr w:type="gramEnd"/>
    </w:p>
    <w:p w14:paraId="39507499" w14:textId="77777777" w:rsidR="00AA79D3" w:rsidRDefault="00AA79D3" w:rsidP="00AA79D3">
      <w:pPr>
        <w:ind w:firstLine="709"/>
        <w:jc w:val="both"/>
        <w:rPr>
          <w:rFonts w:ascii="Trebuchet MS" w:hAnsi="Trebuchet MS"/>
        </w:rPr>
      </w:pPr>
      <w:r>
        <w:rPr>
          <w:rFonts w:ascii="Trebuchet MS" w:hAnsi="Trebuchet MS"/>
        </w:rPr>
        <w:t xml:space="preserve">Evidentemente el planteo de la cuestión se centra alrededor de la expresión “cargo de mayor jerarquía”, relacionada con el </w:t>
      </w:r>
      <w:proofErr w:type="gramStart"/>
      <w:r>
        <w:rPr>
          <w:rFonts w:ascii="Trebuchet MS" w:hAnsi="Trebuchet MS"/>
        </w:rPr>
        <w:t>contenido  de</w:t>
      </w:r>
      <w:proofErr w:type="gramEnd"/>
      <w:r>
        <w:rPr>
          <w:rFonts w:ascii="Trebuchet MS" w:hAnsi="Trebuchet MS"/>
        </w:rPr>
        <w:t xml:space="preserve"> la oración última del Inc. e), que dice: “cuando el orden jerárquico no pueda determinarse deberá tratarse  de un puesto de mayor remuneración”, dado que la misma obliga a resolver en primer lugar si se trata de cargos de mayor jerarquía, siendo excluyente esta consideración de toda otra interpretación de la norma.</w:t>
      </w:r>
    </w:p>
    <w:p w14:paraId="5E95D6F7" w14:textId="77777777" w:rsidR="00AA79D3" w:rsidRDefault="00AA79D3" w:rsidP="00AA79D3">
      <w:pPr>
        <w:ind w:firstLine="709"/>
        <w:jc w:val="both"/>
        <w:rPr>
          <w:rFonts w:ascii="Trebuchet MS" w:hAnsi="Trebuchet MS"/>
        </w:rPr>
      </w:pPr>
    </w:p>
    <w:p w14:paraId="3564A337" w14:textId="77777777" w:rsidR="00AA79D3" w:rsidRDefault="00AA79D3" w:rsidP="00AA79D3">
      <w:pPr>
        <w:ind w:firstLine="709"/>
        <w:jc w:val="both"/>
        <w:rPr>
          <w:rFonts w:ascii="Trebuchet MS" w:hAnsi="Trebuchet MS"/>
        </w:rPr>
      </w:pPr>
      <w:r>
        <w:rPr>
          <w:rFonts w:ascii="Trebuchet MS" w:hAnsi="Trebuchet MS"/>
        </w:rPr>
        <w:lastRenderedPageBreak/>
        <w:t xml:space="preserve">Que en este caso, en que se trata de una docente maestra de grado titular de un establecimiento privado que pasa a desempeñarse también como maestra de grado de una escuela municipal, queda </w:t>
      </w:r>
      <w:proofErr w:type="gramStart"/>
      <w:r>
        <w:rPr>
          <w:rFonts w:ascii="Trebuchet MS" w:hAnsi="Trebuchet MS"/>
        </w:rPr>
        <w:t>en  claro</w:t>
      </w:r>
      <w:proofErr w:type="gramEnd"/>
      <w:r>
        <w:rPr>
          <w:rFonts w:ascii="Trebuchet MS" w:hAnsi="Trebuchet MS"/>
        </w:rPr>
        <w:t xml:space="preserve"> que se trata de dos cargos de la misma denominación, jerarquía y función, razón por la cual, al no dejar margen de duda sobre ello, no permiten que se aplique la cláusula alternativa del Inc. e),  que remite la consideración de la mayor remuneración para determinarla, sólo ante el caso de que aparezca aquélla, que no es el presente.</w:t>
      </w:r>
    </w:p>
    <w:p w14:paraId="70D63484" w14:textId="77777777" w:rsidR="00AA79D3" w:rsidRDefault="00AA79D3" w:rsidP="00AA79D3">
      <w:pPr>
        <w:ind w:firstLine="709"/>
        <w:jc w:val="both"/>
        <w:rPr>
          <w:rFonts w:ascii="Trebuchet MS" w:hAnsi="Trebuchet MS"/>
        </w:rPr>
      </w:pPr>
    </w:p>
    <w:p w14:paraId="64A9AD5A" w14:textId="77777777" w:rsidR="00AA79D3" w:rsidRDefault="00AA79D3" w:rsidP="00AA79D3">
      <w:pPr>
        <w:ind w:firstLine="709"/>
        <w:jc w:val="both"/>
        <w:rPr>
          <w:rFonts w:ascii="Trebuchet MS" w:hAnsi="Trebuchet MS"/>
        </w:rPr>
      </w:pPr>
      <w:r>
        <w:rPr>
          <w:rFonts w:ascii="Trebuchet MS" w:hAnsi="Trebuchet MS"/>
        </w:rPr>
        <w:t>Que es evidente que el propósito de la normativa citada ha sido solamente el de posibilitar el movimiento del personal que asciende en el escalafón (movilidad vertical) y no el de quien se mantiene en el mismo nivel (movilidad horizontal), porque ello no resultará beneficioso para los alumnos (que deberán afrontar tantos cambios de docentes, como alternativas de mayor nivel alcancen los salarios en una y otra jurisdicción, con las graves consecuencias que ello puede acarrear para su formación, ante la falta de identidad de sus maestros, en continuo intercambio de los titulares con los suplentes.)</w:t>
      </w:r>
    </w:p>
    <w:p w14:paraId="5C6C4A35" w14:textId="77777777" w:rsidR="00AA79D3" w:rsidRDefault="00AA79D3" w:rsidP="00AA79D3">
      <w:pPr>
        <w:ind w:firstLine="709"/>
        <w:jc w:val="both"/>
        <w:rPr>
          <w:rFonts w:ascii="Trebuchet MS" w:hAnsi="Trebuchet MS"/>
        </w:rPr>
      </w:pPr>
    </w:p>
    <w:p w14:paraId="4167BE67" w14:textId="77777777" w:rsidR="00AA79D3" w:rsidRDefault="00AA79D3" w:rsidP="00AA79D3">
      <w:pPr>
        <w:ind w:firstLine="709"/>
        <w:jc w:val="both"/>
        <w:rPr>
          <w:rFonts w:ascii="Trebuchet MS" w:hAnsi="Trebuchet MS"/>
        </w:rPr>
      </w:pPr>
      <w:r>
        <w:rPr>
          <w:rFonts w:ascii="Trebuchet MS" w:hAnsi="Trebuchet MS"/>
        </w:rPr>
        <w:t>Que la situación que se plantea precedentemente ha sido una realidad generalizada, vivida en los establecimientos de nivel primario y secundario, dependientes de SNEP, donde se produjo el éxodo del personal docente, al comenzar el periodo lectivo, tras una mayor remuneración que, al quedar en desventaja con el correr de algunos meses, por las diferentes políticas salariales aplicadas, otorga derecho al empleador a reclamar el reintegro del docente que ha perdido el motivo por el cual se le concediera esta licencia.</w:t>
      </w:r>
    </w:p>
    <w:p w14:paraId="44004584" w14:textId="77777777" w:rsidR="00AA79D3" w:rsidRDefault="00AA79D3" w:rsidP="00AA79D3">
      <w:pPr>
        <w:ind w:firstLine="709"/>
        <w:jc w:val="both"/>
        <w:rPr>
          <w:rFonts w:ascii="Trebuchet MS" w:hAnsi="Trebuchet MS"/>
        </w:rPr>
      </w:pPr>
    </w:p>
    <w:p w14:paraId="5977B976" w14:textId="77777777" w:rsidR="00AA79D3" w:rsidRDefault="00AA79D3" w:rsidP="00AA79D3">
      <w:pPr>
        <w:ind w:firstLine="709"/>
        <w:jc w:val="both"/>
        <w:rPr>
          <w:rFonts w:ascii="Trebuchet MS" w:hAnsi="Trebuchet MS"/>
        </w:rPr>
      </w:pPr>
    </w:p>
    <w:p w14:paraId="6112BBE8" w14:textId="77777777" w:rsidR="00AA79D3" w:rsidRDefault="00AA79D3" w:rsidP="00AA79D3">
      <w:pPr>
        <w:ind w:firstLine="709"/>
        <w:jc w:val="both"/>
        <w:rPr>
          <w:rFonts w:ascii="Trebuchet MS" w:hAnsi="Trebuchet MS"/>
        </w:rPr>
      </w:pPr>
    </w:p>
    <w:p w14:paraId="26BF9D88" w14:textId="77777777" w:rsidR="00AA79D3" w:rsidRDefault="00AA79D3" w:rsidP="00AA79D3">
      <w:pPr>
        <w:ind w:firstLine="709"/>
        <w:jc w:val="both"/>
        <w:rPr>
          <w:rFonts w:ascii="Trebuchet MS" w:hAnsi="Trebuchet MS"/>
        </w:rPr>
      </w:pPr>
    </w:p>
    <w:p w14:paraId="200B339D" w14:textId="77777777" w:rsidR="00AA79D3" w:rsidRDefault="00AA79D3" w:rsidP="00AA79D3">
      <w:pPr>
        <w:ind w:firstLine="709"/>
        <w:jc w:val="both"/>
        <w:rPr>
          <w:rFonts w:ascii="Trebuchet MS" w:hAnsi="Trebuchet MS"/>
        </w:rPr>
      </w:pPr>
      <w:r>
        <w:rPr>
          <w:rFonts w:ascii="Trebuchet MS" w:hAnsi="Trebuchet MS"/>
        </w:rPr>
        <w:t xml:space="preserve">Que a lo anterior se suma la circunstancia que el cargo similar que pasa a desempeñar la titular, </w:t>
      </w:r>
      <w:proofErr w:type="gramStart"/>
      <w:r>
        <w:rPr>
          <w:rFonts w:ascii="Trebuchet MS" w:hAnsi="Trebuchet MS"/>
        </w:rPr>
        <w:t>con  carácter</w:t>
      </w:r>
      <w:proofErr w:type="gramEnd"/>
      <w:r>
        <w:rPr>
          <w:rFonts w:ascii="Trebuchet MS" w:hAnsi="Trebuchet MS"/>
        </w:rPr>
        <w:t xml:space="preserve">  inestable, puede  mantener  por  lapsos  indefinidos, de  varios  años, dicha  situación, con </w:t>
      </w:r>
    </w:p>
    <w:p w14:paraId="68C7D344" w14:textId="77777777" w:rsidR="00AA79D3" w:rsidRDefault="00AA79D3" w:rsidP="00AA79D3">
      <w:pPr>
        <w:jc w:val="both"/>
        <w:rPr>
          <w:rFonts w:ascii="Trebuchet MS" w:hAnsi="Trebuchet MS"/>
        </w:rPr>
      </w:pPr>
    </w:p>
    <w:p w14:paraId="5500D19C" w14:textId="77777777" w:rsidR="00AA79D3" w:rsidRDefault="00AA79D3" w:rsidP="00AA79D3">
      <w:pPr>
        <w:jc w:val="both"/>
        <w:rPr>
          <w:rFonts w:ascii="Trebuchet MS" w:hAnsi="Trebuchet MS"/>
        </w:rPr>
      </w:pPr>
      <w:proofErr w:type="gramStart"/>
      <w:r>
        <w:rPr>
          <w:rFonts w:ascii="Trebuchet MS" w:hAnsi="Trebuchet MS"/>
        </w:rPr>
        <w:t>perjuicio</w:t>
      </w:r>
      <w:proofErr w:type="gramEnd"/>
      <w:r>
        <w:rPr>
          <w:rFonts w:ascii="Trebuchet MS" w:hAnsi="Trebuchet MS"/>
        </w:rPr>
        <w:t xml:space="preserve"> directo para el personal reemplazante, que no puede alcanzar así su titularidad y, además se ve permanentemente en el riesgo de ser desplazado en cualquier momento, por el reintegro, siempre posible, de aquél.</w:t>
      </w:r>
    </w:p>
    <w:p w14:paraId="1B763BD2" w14:textId="77777777" w:rsidR="00AA79D3" w:rsidRDefault="00AA79D3" w:rsidP="00AA79D3">
      <w:pPr>
        <w:ind w:firstLine="709"/>
        <w:jc w:val="both"/>
        <w:rPr>
          <w:rFonts w:ascii="Trebuchet MS" w:hAnsi="Trebuchet MS"/>
        </w:rPr>
      </w:pPr>
    </w:p>
    <w:p w14:paraId="21E19B37" w14:textId="77777777" w:rsidR="00AA79D3" w:rsidRDefault="00AA79D3" w:rsidP="00AA79D3">
      <w:pPr>
        <w:ind w:firstLine="709"/>
        <w:jc w:val="both"/>
        <w:rPr>
          <w:rFonts w:ascii="Trebuchet MS" w:hAnsi="Trebuchet MS"/>
        </w:rPr>
      </w:pPr>
      <w:r>
        <w:rPr>
          <w:rFonts w:ascii="Trebuchet MS" w:hAnsi="Trebuchet MS"/>
        </w:rPr>
        <w:t xml:space="preserve">Que el Consejo Gremial de </w:t>
      </w:r>
      <w:proofErr w:type="gramStart"/>
      <w:r>
        <w:rPr>
          <w:rFonts w:ascii="Trebuchet MS" w:hAnsi="Trebuchet MS"/>
        </w:rPr>
        <w:t>Enseñanza  Privada</w:t>
      </w:r>
      <w:proofErr w:type="gramEnd"/>
      <w:r>
        <w:rPr>
          <w:rFonts w:ascii="Trebuchet MS" w:hAnsi="Trebuchet MS"/>
        </w:rPr>
        <w:t xml:space="preserve"> no puede ser ajeno a estas situaciones, ni quedar al margen de las consecuencias que crea para la escuela, para el docente y para los alumnos, razón por la cual se obliga a rechazar la interpretación amplia de esta norma y ratificar la restrictiva, expuesta precedentemente, con lo que va de suyo que considera que es correcta y ajustada a derecho de denegatoria de la licencia que solicita la recurrente, por parte del empleador, razón por la cual deberá encuadrar su pedido en otro tipo de licencia, reintegrarse a su empleo titular, o renunciar al mismo si así no lo hiciere.</w:t>
      </w:r>
    </w:p>
    <w:p w14:paraId="670C6219" w14:textId="77777777" w:rsidR="00AA79D3" w:rsidRDefault="00AA79D3" w:rsidP="00AA79D3">
      <w:pPr>
        <w:ind w:firstLine="709"/>
        <w:jc w:val="both"/>
        <w:rPr>
          <w:rFonts w:ascii="Trebuchet MS" w:hAnsi="Trebuchet MS"/>
        </w:rPr>
      </w:pPr>
    </w:p>
    <w:p w14:paraId="611C401B" w14:textId="77777777" w:rsidR="00AA79D3" w:rsidRDefault="00AA79D3" w:rsidP="00AA79D3">
      <w:pPr>
        <w:ind w:firstLine="709"/>
        <w:jc w:val="both"/>
        <w:rPr>
          <w:rFonts w:ascii="Trebuchet MS" w:hAnsi="Trebuchet MS"/>
        </w:rPr>
      </w:pPr>
      <w:r>
        <w:rPr>
          <w:rFonts w:ascii="Trebuchet MS" w:hAnsi="Trebuchet MS"/>
        </w:rPr>
        <w:t>Por ello, y atento lo aconsejado por la Comisión de Asuntos Legales,</w:t>
      </w:r>
    </w:p>
    <w:p w14:paraId="13D442A6" w14:textId="77777777" w:rsidR="00AA79D3" w:rsidRDefault="00AA79D3" w:rsidP="00AA79D3">
      <w:pPr>
        <w:jc w:val="both"/>
        <w:rPr>
          <w:rFonts w:ascii="Trebuchet MS" w:hAnsi="Trebuchet MS"/>
        </w:rPr>
      </w:pPr>
    </w:p>
    <w:p w14:paraId="510D90ED" w14:textId="77777777" w:rsidR="00AA79D3" w:rsidRDefault="00AA79D3" w:rsidP="00AA79D3">
      <w:pPr>
        <w:jc w:val="both"/>
        <w:rPr>
          <w:rFonts w:ascii="Trebuchet MS" w:hAnsi="Trebuchet MS"/>
        </w:rPr>
      </w:pPr>
    </w:p>
    <w:p w14:paraId="107DBDE6" w14:textId="77777777" w:rsidR="00AA79D3" w:rsidRDefault="00AA79D3" w:rsidP="00AA79D3">
      <w:pPr>
        <w:jc w:val="center"/>
        <w:rPr>
          <w:rFonts w:ascii="Trebuchet MS" w:hAnsi="Trebuchet MS"/>
          <w:b/>
        </w:rPr>
      </w:pPr>
      <w:r>
        <w:rPr>
          <w:rFonts w:ascii="Trebuchet MS" w:hAnsi="Trebuchet MS"/>
          <w:b/>
        </w:rPr>
        <w:t>EL CONSEJO GREMIAL DE ENSEÑANZA PRIVADA</w:t>
      </w:r>
    </w:p>
    <w:p w14:paraId="42EAE650" w14:textId="77777777" w:rsidR="00AA79D3" w:rsidRDefault="00AA79D3" w:rsidP="00AA79D3">
      <w:pPr>
        <w:jc w:val="center"/>
        <w:rPr>
          <w:rFonts w:ascii="Trebuchet MS" w:hAnsi="Trebuchet MS"/>
          <w:b/>
        </w:rPr>
      </w:pPr>
      <w:r>
        <w:rPr>
          <w:rFonts w:ascii="Trebuchet MS" w:hAnsi="Trebuchet MS"/>
          <w:b/>
        </w:rPr>
        <w:t>EN SESIÓN DE LA FECHA</w:t>
      </w:r>
    </w:p>
    <w:p w14:paraId="48926906" w14:textId="77777777" w:rsidR="00AA79D3" w:rsidRDefault="00AA79D3" w:rsidP="00AA79D3">
      <w:pPr>
        <w:jc w:val="center"/>
        <w:rPr>
          <w:rFonts w:ascii="Trebuchet MS" w:hAnsi="Trebuchet MS"/>
          <w:b/>
        </w:rPr>
      </w:pPr>
    </w:p>
    <w:p w14:paraId="33D3DC7A" w14:textId="77777777" w:rsidR="00AA79D3" w:rsidRDefault="00AA79D3" w:rsidP="00AA79D3">
      <w:pPr>
        <w:jc w:val="center"/>
        <w:rPr>
          <w:rFonts w:ascii="Trebuchet MS" w:hAnsi="Trebuchet MS"/>
          <w:b/>
        </w:rPr>
      </w:pPr>
      <w:r>
        <w:rPr>
          <w:rFonts w:ascii="Trebuchet MS" w:hAnsi="Trebuchet MS"/>
          <w:b/>
        </w:rPr>
        <w:t>RESUELVE:</w:t>
      </w:r>
    </w:p>
    <w:p w14:paraId="61BE113B" w14:textId="77777777" w:rsidR="00AA79D3" w:rsidRDefault="00AA79D3" w:rsidP="00AA79D3">
      <w:pPr>
        <w:jc w:val="center"/>
        <w:rPr>
          <w:rFonts w:ascii="Trebuchet MS" w:hAnsi="Trebuchet MS"/>
          <w:b/>
        </w:rPr>
      </w:pPr>
    </w:p>
    <w:p w14:paraId="53A7E743" w14:textId="77777777" w:rsidR="00AA79D3" w:rsidRDefault="00AA79D3" w:rsidP="00AA79D3">
      <w:pPr>
        <w:rPr>
          <w:rFonts w:ascii="Trebuchet MS" w:hAnsi="Trebuchet MS"/>
        </w:rPr>
      </w:pPr>
    </w:p>
    <w:p w14:paraId="6B5FE595" w14:textId="77777777" w:rsidR="00AA79D3" w:rsidRDefault="00AA79D3" w:rsidP="00AA79D3">
      <w:pPr>
        <w:ind w:firstLine="709"/>
        <w:jc w:val="both"/>
        <w:rPr>
          <w:rFonts w:ascii="Trebuchet MS" w:hAnsi="Trebuchet MS"/>
        </w:rPr>
      </w:pPr>
      <w:r>
        <w:rPr>
          <w:rFonts w:ascii="Trebuchet MS" w:hAnsi="Trebuchet MS"/>
        </w:rPr>
        <w:t>1º</w:t>
      </w:r>
      <w:proofErr w:type="gramStart"/>
      <w:r>
        <w:rPr>
          <w:rFonts w:ascii="Trebuchet MS" w:hAnsi="Trebuchet MS"/>
        </w:rPr>
        <w:t>.-</w:t>
      </w:r>
      <w:proofErr w:type="gramEnd"/>
      <w:r>
        <w:rPr>
          <w:rFonts w:ascii="Trebuchet MS" w:hAnsi="Trebuchet MS"/>
        </w:rPr>
        <w:t xml:space="preserve"> Contestar consulta de la Sra. N.N. con los considerandos que anteceden.</w:t>
      </w:r>
    </w:p>
    <w:p w14:paraId="58F762B7" w14:textId="77777777" w:rsidR="00AA79D3" w:rsidRDefault="00AA79D3" w:rsidP="00AA79D3">
      <w:pPr>
        <w:ind w:firstLine="709"/>
        <w:jc w:val="both"/>
        <w:rPr>
          <w:rFonts w:ascii="Trebuchet MS" w:hAnsi="Trebuchet MS"/>
        </w:rPr>
      </w:pPr>
    </w:p>
    <w:p w14:paraId="2592DB60" w14:textId="77777777" w:rsidR="00AA79D3" w:rsidRDefault="00AA79D3" w:rsidP="00AA79D3">
      <w:pPr>
        <w:ind w:firstLine="709"/>
        <w:jc w:val="both"/>
        <w:rPr>
          <w:rFonts w:ascii="Trebuchet MS" w:hAnsi="Trebuchet MS"/>
        </w:rPr>
      </w:pPr>
      <w:r>
        <w:rPr>
          <w:rFonts w:ascii="Trebuchet MS" w:hAnsi="Trebuchet MS"/>
        </w:rPr>
        <w:t>2º</w:t>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y comunicación a la recurrente y a la Superintendencia Nacional de la Enseñanza Privada, con solicitud de publicación en el Boletín SNEP. </w:t>
      </w:r>
      <w:proofErr w:type="gramStart"/>
      <w:r>
        <w:rPr>
          <w:rFonts w:ascii="Trebuchet MS" w:hAnsi="Trebuchet MS"/>
        </w:rPr>
        <w:t>Cumplido, archívese.</w:t>
      </w:r>
      <w:proofErr w:type="gramEnd"/>
    </w:p>
    <w:p w14:paraId="0DF6C400" w14:textId="77777777" w:rsidR="00AA79D3" w:rsidRDefault="00AA79D3" w:rsidP="00AA79D3">
      <w:pPr>
        <w:jc w:val="both"/>
        <w:rPr>
          <w:rFonts w:ascii="Trebuchet MS" w:hAnsi="Trebuchet MS"/>
        </w:rPr>
      </w:pPr>
    </w:p>
    <w:p w14:paraId="4EC9EA79" w14:textId="77777777" w:rsidR="00AA79D3" w:rsidRDefault="00AA79D3" w:rsidP="00AA79D3">
      <w:pPr>
        <w:jc w:val="both"/>
        <w:rPr>
          <w:rFonts w:ascii="Trebuchet MS" w:hAnsi="Trebuchet MS"/>
        </w:rPr>
      </w:pPr>
    </w:p>
    <w:p w14:paraId="3334FFD2" w14:textId="77777777" w:rsidR="00AA79D3" w:rsidRDefault="00AA79D3" w:rsidP="00AA79D3">
      <w:pPr>
        <w:jc w:val="both"/>
        <w:rPr>
          <w:rFonts w:ascii="Trebuchet MS" w:hAnsi="Trebuchet MS"/>
        </w:rPr>
      </w:pPr>
    </w:p>
    <w:p w14:paraId="1346E94B" w14:textId="77777777" w:rsidR="00AA79D3" w:rsidRDefault="00AA79D3" w:rsidP="00AA79D3">
      <w:pPr>
        <w:jc w:val="right"/>
        <w:rPr>
          <w:rFonts w:ascii="Trebuchet MS" w:hAnsi="Trebuchet MS"/>
        </w:rPr>
      </w:pPr>
      <w:r>
        <w:rPr>
          <w:rFonts w:ascii="Trebuchet MS" w:hAnsi="Trebuchet MS"/>
        </w:rPr>
        <w:t xml:space="preserve">Aprobada en sesión de fecha: </w:t>
      </w:r>
      <w:proofErr w:type="gramStart"/>
      <w:r>
        <w:rPr>
          <w:rFonts w:ascii="Trebuchet MS" w:hAnsi="Trebuchet MS"/>
        </w:rPr>
        <w:t>29 de</w:t>
      </w:r>
      <w:proofErr w:type="gramEnd"/>
      <w:r>
        <w:rPr>
          <w:rFonts w:ascii="Trebuchet MS" w:hAnsi="Trebuchet MS"/>
        </w:rPr>
        <w:t xml:space="preserve"> agosto de 1989.</w:t>
      </w:r>
    </w:p>
    <w:p w14:paraId="22709919" w14:textId="77777777" w:rsidR="00AA79D3" w:rsidRDefault="00AA79D3" w:rsidP="00AA79D3">
      <w:pPr>
        <w:rPr>
          <w:rFonts w:ascii="Trebuchet MS" w:hAnsi="Trebuchet MS"/>
        </w:rPr>
      </w:pPr>
    </w:p>
    <w:p w14:paraId="54AE060F" w14:textId="77777777" w:rsidR="00AA79D3" w:rsidRDefault="00AA79D3" w:rsidP="00AA79D3">
      <w:pPr>
        <w:rPr>
          <w:rFonts w:ascii="Trebuchet MS" w:hAnsi="Trebuchet MS"/>
        </w:rPr>
      </w:pPr>
    </w:p>
    <w:p w14:paraId="332B4D35" w14:textId="77777777" w:rsidR="00AA79D3" w:rsidRDefault="00AA79D3" w:rsidP="00AA79D3">
      <w:pPr>
        <w:rPr>
          <w:rFonts w:ascii="Trebuchet MS" w:hAnsi="Trebuchet MS"/>
        </w:rPr>
      </w:pPr>
    </w:p>
    <w:p w14:paraId="1F3DC957" w14:textId="77777777" w:rsidR="00AA79D3" w:rsidRDefault="00AA79D3" w:rsidP="00AA79D3">
      <w:pPr>
        <w:rPr>
          <w:rFonts w:ascii="Trebuchet MS" w:hAnsi="Trebuchet MS"/>
        </w:rPr>
      </w:pPr>
    </w:p>
    <w:p w14:paraId="2061D557" w14:textId="77777777" w:rsidR="00AA79D3" w:rsidRDefault="00AA79D3" w:rsidP="00AA79D3">
      <w:pPr>
        <w:rPr>
          <w:rFonts w:ascii="Trebuchet MS" w:hAnsi="Trebuchet MS"/>
        </w:rPr>
      </w:pPr>
    </w:p>
    <w:p w14:paraId="64423010" w14:textId="77777777" w:rsidR="00AA79D3" w:rsidRDefault="00AA79D3" w:rsidP="00AA79D3">
      <w:pPr>
        <w:rPr>
          <w:rFonts w:ascii="Trebuchet MS" w:hAnsi="Trebuchet MS"/>
        </w:rPr>
      </w:pPr>
    </w:p>
    <w:p w14:paraId="5A3ABE43" w14:textId="77777777" w:rsidR="00AA79D3" w:rsidRDefault="00AA79D3" w:rsidP="00AA79D3">
      <w:pPr>
        <w:jc w:val="center"/>
        <w:rPr>
          <w:rFonts w:ascii="Trebuchet MS" w:hAnsi="Trebuchet MS"/>
          <w:b/>
        </w:rPr>
      </w:pPr>
    </w:p>
    <w:p w14:paraId="1AA1F220" w14:textId="77777777" w:rsidR="00AA79D3" w:rsidRDefault="00AA79D3" w:rsidP="00AA79D3">
      <w:pPr>
        <w:jc w:val="center"/>
        <w:rPr>
          <w:rFonts w:ascii="Trebuchet MS" w:hAnsi="Trebuchet MS"/>
          <w:b/>
        </w:rPr>
      </w:pPr>
    </w:p>
    <w:p w14:paraId="51D26AAC" w14:textId="77777777" w:rsidR="00AA79D3" w:rsidRDefault="00AA79D3" w:rsidP="00AA79D3">
      <w:pPr>
        <w:rPr>
          <w:rFonts w:ascii="Trebuchet MS" w:hAnsi="Trebuchet MS"/>
        </w:rPr>
      </w:pPr>
    </w:p>
    <w:p w14:paraId="10533968" w14:textId="77777777" w:rsidR="00AA79D3" w:rsidRDefault="00AA79D3" w:rsidP="00AA79D3">
      <w:pPr>
        <w:jc w:val="center"/>
        <w:rPr>
          <w:rFonts w:ascii="Trebuchet MS" w:hAnsi="Trebuchet MS"/>
          <w:b/>
        </w:rPr>
      </w:pPr>
    </w:p>
    <w:p w14:paraId="63CDF3FD" w14:textId="77777777" w:rsidR="00AA79D3" w:rsidRDefault="00AA79D3" w:rsidP="00AA79D3">
      <w:pPr>
        <w:jc w:val="center"/>
        <w:rPr>
          <w:rFonts w:ascii="Trebuchet MS" w:hAnsi="Trebuchet MS"/>
          <w:b/>
          <w:lang w:val="es-MX"/>
        </w:rPr>
      </w:pPr>
    </w:p>
    <w:p w14:paraId="6F162D5D" w14:textId="77777777" w:rsidR="00AA79D3" w:rsidRDefault="00AA79D3" w:rsidP="00AA79D3">
      <w:pPr>
        <w:jc w:val="center"/>
        <w:rPr>
          <w:rFonts w:ascii="Trebuchet MS" w:hAnsi="Trebuchet MS"/>
          <w:b/>
          <w:lang w:val="es-MX"/>
        </w:rPr>
      </w:pPr>
    </w:p>
    <w:p w14:paraId="40D73DAC" w14:textId="77777777" w:rsidR="00AA79D3" w:rsidRDefault="00AA79D3" w:rsidP="00AA79D3">
      <w:pPr>
        <w:jc w:val="center"/>
        <w:rPr>
          <w:rFonts w:ascii="Trebuchet MS" w:hAnsi="Trebuchet MS"/>
          <w:b/>
          <w:lang w:val="es-MX"/>
        </w:rPr>
      </w:pPr>
    </w:p>
    <w:p w14:paraId="1C65D71D" w14:textId="77777777" w:rsidR="00AA79D3" w:rsidRDefault="00AA79D3" w:rsidP="00AA79D3">
      <w:pPr>
        <w:jc w:val="center"/>
        <w:rPr>
          <w:rFonts w:ascii="Trebuchet MS" w:hAnsi="Trebuchet MS"/>
          <w:b/>
          <w:lang w:val="es-MX"/>
        </w:rPr>
      </w:pPr>
    </w:p>
    <w:p w14:paraId="09FA2F08" w14:textId="77777777" w:rsidR="00AA79D3" w:rsidRDefault="00AA79D3" w:rsidP="00AA79D3">
      <w:pPr>
        <w:jc w:val="center"/>
        <w:rPr>
          <w:rFonts w:ascii="Trebuchet MS" w:hAnsi="Trebuchet MS"/>
          <w:b/>
          <w:lang w:val="es-MX"/>
        </w:rPr>
      </w:pPr>
    </w:p>
    <w:p w14:paraId="5DEB01EC" w14:textId="77777777" w:rsidR="00AA79D3" w:rsidRDefault="00AA79D3" w:rsidP="00AA79D3">
      <w:pPr>
        <w:jc w:val="center"/>
        <w:rPr>
          <w:rFonts w:ascii="Trebuchet MS" w:hAnsi="Trebuchet MS"/>
          <w:b/>
          <w:lang w:val="es-MX"/>
        </w:rPr>
      </w:pPr>
    </w:p>
    <w:p w14:paraId="1BB5A788" w14:textId="77777777" w:rsidR="00AA79D3" w:rsidRDefault="00AA79D3" w:rsidP="00AA79D3">
      <w:pPr>
        <w:jc w:val="center"/>
        <w:rPr>
          <w:rFonts w:ascii="Trebuchet MS" w:hAnsi="Trebuchet MS"/>
          <w:b/>
          <w:lang w:val="es-MX"/>
        </w:rPr>
      </w:pPr>
    </w:p>
    <w:p w14:paraId="22E8DC5B" w14:textId="77777777" w:rsidR="00AA79D3" w:rsidRDefault="00AA79D3" w:rsidP="00AA79D3">
      <w:pPr>
        <w:jc w:val="center"/>
        <w:rPr>
          <w:rFonts w:ascii="Trebuchet MS" w:hAnsi="Trebuchet MS"/>
          <w:b/>
          <w:lang w:val="es-MX"/>
        </w:rPr>
      </w:pPr>
    </w:p>
    <w:p w14:paraId="5A5A61A1" w14:textId="77777777" w:rsidR="00AA79D3" w:rsidRDefault="00AA79D3" w:rsidP="00AA79D3">
      <w:pPr>
        <w:jc w:val="center"/>
        <w:rPr>
          <w:rFonts w:ascii="Trebuchet MS" w:hAnsi="Trebuchet MS"/>
          <w:b/>
          <w:lang w:val="es-MX"/>
        </w:rPr>
      </w:pPr>
    </w:p>
    <w:p w14:paraId="58603DC5" w14:textId="77777777" w:rsidR="00AA79D3" w:rsidRDefault="00AA79D3" w:rsidP="00AA79D3">
      <w:pPr>
        <w:rPr>
          <w:rFonts w:ascii="Trebuchet MS" w:hAnsi="Trebuchet MS"/>
          <w:b/>
          <w:lang w:val="es-MX"/>
        </w:rPr>
      </w:pPr>
    </w:p>
    <w:p w14:paraId="7F2E9810" w14:textId="77777777" w:rsidR="00AA79D3" w:rsidRPr="00506D9B" w:rsidRDefault="00AA79D3" w:rsidP="00AA79D3">
      <w:pPr>
        <w:jc w:val="center"/>
        <w:rPr>
          <w:rFonts w:ascii="Trebuchet MS" w:hAnsi="Trebuchet MS"/>
          <w:b/>
          <w:lang w:val="es-MX"/>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A79D3"/>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4543</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2021-05-03T19:53:00Z</dcterms:created>
  <dcterms:modified xsi:type="dcterms:W3CDTF">2021-05-03T19:53:00Z</dcterms:modified>
</cp:coreProperties>
</file>