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F0004" w14:textId="77777777" w:rsidR="00217281" w:rsidRDefault="00217281" w:rsidP="00217281">
      <w:pPr>
        <w:jc w:val="center"/>
        <w:rPr>
          <w:rFonts w:ascii="Trebuchet MS" w:hAnsi="Trebuchet MS"/>
          <w:b/>
        </w:rPr>
      </w:pPr>
    </w:p>
    <w:p w14:paraId="34F16426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bookmarkStart w:id="0" w:name="_GoBack"/>
      <w:bookmarkEnd w:id="0"/>
      <w:r w:rsidRPr="00864F96">
        <w:rPr>
          <w:rFonts w:ascii="Trebuchet MS" w:hAnsi="Trebuchet MS"/>
          <w:b/>
          <w:spacing w:val="-3"/>
        </w:rPr>
        <w:t>ASPECTOS NORMATIVOS EN LA APLICACIÓN DE LA NUEVA ESTRUCTURA</w:t>
      </w:r>
    </w:p>
    <w:p w14:paraId="2B9BD24F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>DEL SISTEMA EDUCATIVO</w:t>
      </w:r>
    </w:p>
    <w:p w14:paraId="13DFE5A3" w14:textId="77777777" w:rsidR="00217281" w:rsidRPr="00864F96" w:rsidRDefault="00217281" w:rsidP="00217281">
      <w:pPr>
        <w:tabs>
          <w:tab w:val="left" w:pos="0"/>
        </w:tabs>
        <w:suppressAutoHyphens/>
        <w:jc w:val="center"/>
        <w:rPr>
          <w:rFonts w:ascii="Trebuchet MS" w:hAnsi="Trebuchet MS"/>
          <w:spacing w:val="-3"/>
        </w:rPr>
      </w:pPr>
    </w:p>
    <w:p w14:paraId="0F7955E4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  <w:r w:rsidRPr="00864F96">
        <w:rPr>
          <w:rFonts w:ascii="Trebuchet MS" w:hAnsi="Trebuchet MS"/>
          <w:b/>
        </w:rPr>
        <w:t>CONSEJO FEDERAL DE CULTURA Y EDUCACIÓN</w:t>
      </w:r>
    </w:p>
    <w:p w14:paraId="3CE0BDBB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</w:p>
    <w:p w14:paraId="14DB87BA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  <w:r w:rsidRPr="00864F96">
        <w:rPr>
          <w:rFonts w:ascii="Trebuchet MS" w:hAnsi="Trebuchet MS"/>
          <w:b/>
        </w:rPr>
        <w:t xml:space="preserve">RESOLUCION </w:t>
      </w:r>
      <w:r>
        <w:rPr>
          <w:rFonts w:ascii="Trebuchet MS" w:hAnsi="Trebuchet MS"/>
          <w:b/>
        </w:rPr>
        <w:t xml:space="preserve">Nº </w:t>
      </w:r>
      <w:r w:rsidRPr="00864F96">
        <w:rPr>
          <w:rFonts w:ascii="Trebuchet MS" w:hAnsi="Trebuchet MS"/>
          <w:b/>
        </w:rPr>
        <w:t>43 / 95</w:t>
      </w:r>
    </w:p>
    <w:p w14:paraId="44F2A76A" w14:textId="77777777" w:rsidR="00217281" w:rsidRPr="00864F96" w:rsidRDefault="00217281" w:rsidP="00217281">
      <w:pPr>
        <w:jc w:val="center"/>
        <w:rPr>
          <w:rFonts w:ascii="Trebuchet MS" w:hAnsi="Trebuchet MS"/>
          <w:b/>
          <w:caps/>
        </w:rPr>
      </w:pPr>
    </w:p>
    <w:p w14:paraId="2C0D53DE" w14:textId="77777777" w:rsidR="00217281" w:rsidRPr="00864F96" w:rsidRDefault="00217281" w:rsidP="00217281">
      <w:pPr>
        <w:tabs>
          <w:tab w:val="left" w:pos="0"/>
        </w:tabs>
        <w:suppressAutoHyphens/>
        <w:jc w:val="center"/>
        <w:rPr>
          <w:rFonts w:ascii="Trebuchet MS" w:hAnsi="Trebuchet MS"/>
          <w:b/>
        </w:rPr>
      </w:pPr>
    </w:p>
    <w:p w14:paraId="165734A2" w14:textId="77777777" w:rsidR="00217281" w:rsidRPr="00864F96" w:rsidRDefault="00217281" w:rsidP="00217281">
      <w:pPr>
        <w:tabs>
          <w:tab w:val="left" w:pos="0"/>
        </w:tabs>
        <w:suppressAutoHyphens/>
        <w:jc w:val="right"/>
        <w:rPr>
          <w:rFonts w:ascii="Trebuchet MS" w:hAnsi="Trebuchet MS"/>
        </w:rPr>
      </w:pPr>
      <w:r w:rsidRPr="00864F96">
        <w:rPr>
          <w:rFonts w:ascii="Trebuchet MS" w:hAnsi="Trebuchet MS"/>
        </w:rPr>
        <w:t>Buenos Aires, 11 de octubre de 1995</w:t>
      </w:r>
    </w:p>
    <w:p w14:paraId="2A8ADB2F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2C07539F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 xml:space="preserve">VISTO: </w:t>
      </w:r>
    </w:p>
    <w:p w14:paraId="301FC16C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4D4C0AB9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La Resolución Nº 41/95 C.F.C. y E. y,</w:t>
      </w:r>
    </w:p>
    <w:p w14:paraId="794447C6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4B827EB3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>CONSIDERANDO:</w:t>
      </w:r>
    </w:p>
    <w:p w14:paraId="684377F6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7F5DF786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Que la aplicación de la nueva estructura del sistema educativo requiere de decisiones comunes entre las provincias y la Municipalidad de la Ciudad de Buenos Aires que profundicen los acuerdos de dicha Resolución;</w:t>
      </w:r>
    </w:p>
    <w:p w14:paraId="52EDC3BE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</w:p>
    <w:p w14:paraId="067B37CE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Por ello,</w:t>
      </w:r>
    </w:p>
    <w:p w14:paraId="40187CE7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067C840F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>LA XXIV ASAMBLEA EXTRAORDINARIA DEL</w:t>
      </w:r>
    </w:p>
    <w:p w14:paraId="71E2FAA1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>CONSEJO FEDERAL DE CULTURA Y EDUCACION</w:t>
      </w:r>
    </w:p>
    <w:p w14:paraId="2BB5E1C2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  <w:spacing w:val="-3"/>
        </w:rPr>
        <w:t>RESUELVE:</w:t>
      </w:r>
    </w:p>
    <w:p w14:paraId="7BA29F46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28C52B6E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ARTÍCULO 1º.-  ASPECTOS NORMATIVOS:</w:t>
      </w:r>
    </w:p>
    <w:p w14:paraId="2F1FDD20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</w:p>
    <w:p w14:paraId="7472D702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lastRenderedPageBreak/>
        <w:t>1. Se dictará una norma provincial fijando la aplicación de la nueva estructura, con la secuencia anual de gradualidad de la implementación.</w:t>
      </w:r>
    </w:p>
    <w:p w14:paraId="74AF656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07D12B9C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2. Durante la etapa de transición establecida en la Resolución Nº 30/93 C.F.C. y E.  y el Pacto Federal Educativo (11/09/94),  no será requisito previo  para el ingreso a la Educación General Básica la presentación del Certificado de Asistencia a la sala de 5 años.  </w:t>
      </w:r>
    </w:p>
    <w:p w14:paraId="7E82AC67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</w:p>
    <w:p w14:paraId="761CD61D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Se arbitrarán los medios para que, progresivamente,  se universalice su   cumplimiento, tanto de parte del sistema educativo como de las familias.</w:t>
      </w:r>
    </w:p>
    <w:p w14:paraId="4B4F098D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    </w:t>
      </w:r>
    </w:p>
    <w:p w14:paraId="322E392B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   </w:t>
      </w:r>
      <w:r>
        <w:rPr>
          <w:rFonts w:ascii="Trebuchet MS" w:hAnsi="Trebuchet MS"/>
          <w:spacing w:val="-3"/>
        </w:rPr>
        <w:t xml:space="preserve">  </w:t>
      </w:r>
      <w:r w:rsidRPr="00864F96">
        <w:rPr>
          <w:rFonts w:ascii="Trebuchet MS" w:hAnsi="Trebuchet MS"/>
          <w:spacing w:val="-3"/>
        </w:rPr>
        <w:t>Se acuerda una fórmula de certificación única en todo el país, la que figura en el Anexo I.</w:t>
      </w:r>
    </w:p>
    <w:p w14:paraId="3254036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C129B7E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3. Se adaptará la documentación de uso corriente, en aquellos tramos del sistema en los cuales se está aplicando la nueva estructura, a las denominaciones que fija la ley.</w:t>
      </w:r>
    </w:p>
    <w:p w14:paraId="50E4294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C0FA5D0" w14:textId="77777777" w:rsidR="00217281" w:rsidRPr="00864F96" w:rsidRDefault="00217281" w:rsidP="00217281">
      <w:pPr>
        <w:tabs>
          <w:tab w:val="left" w:pos="-720"/>
          <w:tab w:val="left" w:pos="0"/>
          <w:tab w:val="left" w:pos="282"/>
          <w:tab w:val="left" w:pos="720"/>
        </w:tabs>
        <w:suppressAutoHyphens/>
        <w:ind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El  mínimo nacional de documentación homogénea incluirá:</w:t>
      </w:r>
    </w:p>
    <w:p w14:paraId="5F58F86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33F3B98" w14:textId="77777777" w:rsidR="00217281" w:rsidRPr="00864F96" w:rsidRDefault="00217281" w:rsidP="00217281">
      <w:pPr>
        <w:tabs>
          <w:tab w:val="left" w:pos="-720"/>
          <w:tab w:val="left" w:pos="0"/>
          <w:tab w:val="left" w:pos="426"/>
          <w:tab w:val="left" w:pos="720"/>
        </w:tabs>
        <w:suppressAutoHyphens/>
        <w:ind w:hanging="426"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. La  nomenclatura en el Registro de Inscripción de los cursos en los que se aplique la nueva estructura.</w:t>
      </w:r>
    </w:p>
    <w:p w14:paraId="5BDE39CB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75BF915" w14:textId="77777777" w:rsidR="00217281" w:rsidRPr="00864F96" w:rsidRDefault="00217281" w:rsidP="00217281">
      <w:pPr>
        <w:tabs>
          <w:tab w:val="left" w:pos="-720"/>
          <w:tab w:val="left" w:pos="0"/>
          <w:tab w:val="left" w:pos="426"/>
          <w:tab w:val="left" w:pos="720"/>
        </w:tabs>
        <w:suppressAutoHyphens/>
        <w:ind w:hanging="426"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. La  nomenclatura  en el Boletín de Calificaciones de los cursos en los que se aplique la nueva estructura.</w:t>
      </w:r>
    </w:p>
    <w:p w14:paraId="1E6FA0C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3B76C4F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 xml:space="preserve">. </w:t>
      </w:r>
      <w:r w:rsidRPr="00864F96">
        <w:rPr>
          <w:rFonts w:ascii="Trebuchet MS" w:hAnsi="Trebuchet MS"/>
          <w:spacing w:val="-3"/>
        </w:rPr>
        <w:t>La nomenclatura a adoptar es la acordada en la Resolución Nº 41/95 CFCyE, que figura en el Anexo I.</w:t>
      </w:r>
    </w:p>
    <w:p w14:paraId="566FCC37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19FA3D9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30188026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36F90C8B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0B63091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15F791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ARTÍCULO 2º.- REORGANIZACION DEL SISTEMA EDUCATIVO:</w:t>
      </w:r>
    </w:p>
    <w:p w14:paraId="76B6204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4004BD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La transformación educativa en marcha requiere la organización de diferentes espacios y tiempos de la estructura escolar que incluye tanto los contenidos como la propia gestión educativa.</w:t>
      </w:r>
    </w:p>
    <w:p w14:paraId="5A6A0BB6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i/>
          <w:spacing w:val="-3"/>
        </w:rPr>
      </w:pPr>
      <w:r w:rsidRPr="00864F96">
        <w:rPr>
          <w:rFonts w:ascii="Trebuchet MS" w:hAnsi="Trebuchet MS"/>
          <w:i/>
          <w:spacing w:val="-3"/>
        </w:rPr>
        <w:lastRenderedPageBreak/>
        <w:tab/>
      </w:r>
    </w:p>
    <w:p w14:paraId="31501D16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i/>
          <w:spacing w:val="-3"/>
        </w:rPr>
        <w:tab/>
        <w:t>- La institución escolar:</w:t>
      </w:r>
    </w:p>
    <w:p w14:paraId="697891E8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18264F8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realizará una evaluación inicial para identificar las competencias de los alumnos/as.</w:t>
      </w:r>
    </w:p>
    <w:p w14:paraId="1268695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A9D1F7E" w14:textId="77777777" w:rsidR="00217281" w:rsidRPr="00864F96" w:rsidRDefault="00217281" w:rsidP="00217281">
      <w:pPr>
        <w:tabs>
          <w:tab w:val="left" w:pos="-720"/>
        </w:tabs>
        <w:suppressAutoHyphens/>
        <w:ind w:left="708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- producirá en el marco de la inclusión progresiva de los CBC, un documento escrito con indicadores de logro de los alumnos/as año  por año, en los tramos del sistema educativo incluidos en la transformación, y en los temas considerados prioritarios para  el año en curso.</w:t>
      </w:r>
    </w:p>
    <w:p w14:paraId="08CE012A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620F5A4F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establecerá indicadores para el seguimiento de los logros a lo largo  del ciclo lectivo.</w:t>
      </w:r>
    </w:p>
    <w:p w14:paraId="02086F6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18A7839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definirá y concretará una comunicación sistemática, periódica  y efectiva con los padres.</w:t>
      </w:r>
    </w:p>
    <w:p w14:paraId="6D6EF26B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456F22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i/>
          <w:spacing w:val="-3"/>
        </w:rPr>
      </w:pPr>
      <w:r w:rsidRPr="00864F96">
        <w:rPr>
          <w:rFonts w:ascii="Trebuchet MS" w:hAnsi="Trebuchet MS"/>
          <w:i/>
          <w:spacing w:val="-3"/>
        </w:rPr>
        <w:tab/>
      </w:r>
    </w:p>
    <w:p w14:paraId="2695733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i/>
          <w:spacing w:val="-3"/>
        </w:rPr>
        <w:tab/>
        <w:t>-  Los directivos/as:</w:t>
      </w:r>
    </w:p>
    <w:p w14:paraId="4E7156F9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6D227A6D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promoverán la participación y el compromiso creciente de todos los docentes de la institución, para alcanzar las metas programadas.</w:t>
      </w:r>
    </w:p>
    <w:p w14:paraId="5EBF9DF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81CA61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planificarán con los docentes la distribución del tiempo escolar flexibilizando su uso en relación con: a) el tiempo real que requieren los aprendizajes según su especificidad,  grado de complejidad, edad de los alumnos y otras variables; b) los momentos y modos para la recreación.</w:t>
      </w:r>
    </w:p>
    <w:p w14:paraId="7E1C7627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24EDA03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incrementarán el uso efectivo de la información existente en la escuela, incluyendo la lectura permanente de los indicadores cualitativos y cuantitativos establecidos para el seguimiento de la marcha del proyecto pedagógico institucional.</w:t>
      </w:r>
    </w:p>
    <w:p w14:paraId="4B27528A" w14:textId="77777777" w:rsidR="00217281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</w:p>
    <w:p w14:paraId="3E9650B3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participarán de reuniones periódicas y sistemáticas con los otros directivos/as de la zona, según la organización de cada provincia.</w:t>
      </w:r>
    </w:p>
    <w:p w14:paraId="27A2B15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2779B63D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i/>
          <w:spacing w:val="-3"/>
        </w:rPr>
        <w:tab/>
        <w:t>- El docente de aula:</w:t>
      </w:r>
    </w:p>
    <w:p w14:paraId="03510A05" w14:textId="77777777" w:rsidR="00217281" w:rsidRPr="00864F96" w:rsidRDefault="00217281" w:rsidP="00217281">
      <w:pPr>
        <w:numPr>
          <w:ilvl w:val="0"/>
          <w:numId w:val="1"/>
        </w:numPr>
        <w:tabs>
          <w:tab w:val="left" w:pos="-720"/>
          <w:tab w:val="left" w:pos="360"/>
        </w:tabs>
        <w:suppressAutoHyphens/>
        <w:spacing w:after="0" w:line="240" w:lineRule="auto"/>
        <w:ind w:left="720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favorecerá el aprendizaje interactivo aplicando tres criterios:</w:t>
      </w:r>
    </w:p>
    <w:p w14:paraId="56FA1CB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42C431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lastRenderedPageBreak/>
        <w:t xml:space="preserve">a. Primer criterio: se ampliará la definición de “aula”, entendiéndola como un </w:t>
      </w:r>
      <w:r w:rsidRPr="00864F96">
        <w:rPr>
          <w:rFonts w:ascii="Trebuchet MS" w:hAnsi="Trebuchet MS"/>
          <w:i/>
          <w:spacing w:val="-3"/>
        </w:rPr>
        <w:t>centro de recursos para el aprendizaje</w:t>
      </w:r>
      <w:r w:rsidRPr="00864F96">
        <w:rPr>
          <w:rFonts w:ascii="Trebuchet MS" w:hAnsi="Trebuchet MS"/>
          <w:spacing w:val="-3"/>
        </w:rPr>
        <w:t xml:space="preserve">. </w:t>
      </w:r>
    </w:p>
    <w:p w14:paraId="4117ADF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478BA7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A modo de ejemplos:</w:t>
      </w:r>
    </w:p>
    <w:p w14:paraId="669523E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028ECD6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*  Incluir alternativas como "aula o área de matemáticas, ciencias,...” y otras.</w:t>
      </w:r>
    </w:p>
    <w:p w14:paraId="3B6BA22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2B382D3A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*  Organizar áreas de trabajo en el aula, distintas y cambiantes, dando prioridad al área de Tecnología, en los casos que resultara posible.</w:t>
      </w:r>
    </w:p>
    <w:p w14:paraId="252BD50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1D972D0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BA83393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b. Segundo criterio: el salón de clases tendrá una organización flexible. </w:t>
      </w:r>
    </w:p>
    <w:p w14:paraId="0ECF5EC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474B47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Para ello es necesario reestructurar el espacio del aula a fin de facilitar en los alumnos/as la generación de distintos abordajes para acceder al conocimiento, tales como  diferentes fuentes de información, desarrollo de actividades alternativas, y otros. </w:t>
      </w:r>
    </w:p>
    <w:p w14:paraId="4C3D0D5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D353B43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A modo de ejemplo, se incluirán estructuras espaciales que permitan movilizarse, jugar, apartarse, agruparse, construir, leer, estudiar, investigar, etc. </w:t>
      </w:r>
    </w:p>
    <w:p w14:paraId="5E2F5AD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9BC103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c. Tercer criterio: se garantizará la utilización del aula por distintos usuarios/as, de la misma institución o de otras instituciones. </w:t>
      </w:r>
    </w:p>
    <w:p w14:paraId="1EC602D7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2D67C02F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A modo de ejemplo:</w:t>
      </w:r>
    </w:p>
    <w:p w14:paraId="004488E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6044670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* Organizar un día (una hora, medio día, etc.) por semana  en que los alumnos/as de diferentes cursos o secciones trabajen con agrupamientos de diferentes edades,  en actividades planificadas institucionalmente.</w:t>
      </w:r>
    </w:p>
    <w:p w14:paraId="3B32177F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0BBC26BA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*  Acordar con instituciones próximas, del mismo o de otro nivel educativo, actividades conjuntas de alumnos/as, de cursos que pueden ser paralelos o diferentes,  planificadas interinstitucionalmente.</w:t>
      </w:r>
    </w:p>
    <w:p w14:paraId="4C265AE7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67A25A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i/>
          <w:spacing w:val="-3"/>
        </w:rPr>
        <w:tab/>
        <w:t>- Los  supervisores:</w:t>
      </w:r>
    </w:p>
    <w:p w14:paraId="4702B043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D30D048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lastRenderedPageBreak/>
        <w:t>- organizarán y coordinarán reuniones sistemáticas y periódicas con los directivos/as de su zona para el seguimiento de la aplicación de la Ley.</w:t>
      </w:r>
    </w:p>
    <w:p w14:paraId="64B3411B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BD598AD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- acordarán indicadores que permitan identificar las instituciones escolares con mayores problemas de aprendizaje.</w:t>
      </w:r>
    </w:p>
    <w:p w14:paraId="5C4F05F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EA44B1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- efectuarán  asistencia  técnico-pedagógica  a  las instituciones  escolares, y particularmente a aquellas que presenten mayores dificultades.</w:t>
      </w:r>
    </w:p>
    <w:p w14:paraId="5FE09474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45AC18B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 xml:space="preserve">Todos los criterios incluídos en este punto son sustantivos para la transformación del sistema educativo. </w:t>
      </w:r>
    </w:p>
    <w:p w14:paraId="763CA72D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0FE657DF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Es deseable, que las actividades que impliquen cambios organizativos, vayan adoptándose también de manera paulatina en todos los cursos y en todas las instituciones escolares del país.</w:t>
      </w:r>
    </w:p>
    <w:p w14:paraId="12C5B67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i/>
          <w:spacing w:val="-3"/>
        </w:rPr>
      </w:pPr>
    </w:p>
    <w:p w14:paraId="45F6C74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ARTÍCULO 3º.- CRITERIOS COMUNICACIONALES  CON  LA COMUNIDAD: </w:t>
      </w:r>
    </w:p>
    <w:p w14:paraId="2746ED6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670DFAE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La familia:</w:t>
      </w:r>
    </w:p>
    <w:p w14:paraId="1E6061F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29C0578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- será informada al comienzo del año escolar, sobre los logros específicos que se espera que alcancen sus hijos/as al finalizar el ciclo lectivo.</w:t>
      </w:r>
    </w:p>
    <w:p w14:paraId="668AAF46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172F2CF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- será informada periódicamente sobre los avances y dificultades en el proceso de aprendizaje de sus hijos/as.</w:t>
      </w:r>
    </w:p>
    <w:p w14:paraId="61D9DBFE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DD9959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- percibirá cambios en la dinámica del trabajo cotidiano de sus hijos/as, por ejemplo: </w:t>
      </w:r>
    </w:p>
    <w:p w14:paraId="1F4C6E11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2273C3F" w14:textId="77777777" w:rsidR="00217281" w:rsidRPr="00864F96" w:rsidRDefault="00217281" w:rsidP="00217281">
      <w:pPr>
        <w:tabs>
          <w:tab w:val="left" w:pos="-720"/>
          <w:tab w:val="left" w:pos="0"/>
          <w:tab w:val="left" w:pos="851"/>
          <w:tab w:val="left" w:pos="1134"/>
          <w:tab w:val="left" w:pos="4536"/>
          <w:tab w:val="left" w:pos="5040"/>
        </w:tabs>
        <w:suppressAutoHyphens/>
        <w:ind w:hanging="1134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>
        <w:rPr>
          <w:rFonts w:ascii="Trebuchet MS" w:hAnsi="Trebuchet MS"/>
          <w:spacing w:val="-3"/>
        </w:rPr>
        <w:t xml:space="preserve">- </w:t>
      </w:r>
      <w:r w:rsidRPr="00864F96">
        <w:rPr>
          <w:rFonts w:ascii="Trebuchet MS" w:hAnsi="Trebuchet MS"/>
          <w:spacing w:val="-3"/>
        </w:rPr>
        <w:t>sobre pautas de interacción variadas: diferentes posibilidades de desplazamiento de los alumnos/as en la escuela, reorganización del trabajo en el aula, diferentes formas de acceder a la información en distintos lugares de la escuela o fuera de ella, y otros.</w:t>
      </w:r>
    </w:p>
    <w:p w14:paraId="463F0DF6" w14:textId="77777777" w:rsidR="00217281" w:rsidRPr="00864F96" w:rsidRDefault="00217281" w:rsidP="00217281">
      <w:pPr>
        <w:tabs>
          <w:tab w:val="left" w:pos="-720"/>
          <w:tab w:val="left" w:pos="0"/>
          <w:tab w:val="left" w:pos="851"/>
          <w:tab w:val="left" w:pos="1134"/>
          <w:tab w:val="left" w:pos="4536"/>
          <w:tab w:val="left" w:pos="5040"/>
        </w:tabs>
        <w:suppressAutoHyphens/>
        <w:ind w:hanging="1134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</w:p>
    <w:p w14:paraId="7C075E5F" w14:textId="77777777" w:rsidR="00217281" w:rsidRPr="00864F96" w:rsidRDefault="00217281" w:rsidP="00217281">
      <w:pPr>
        <w:tabs>
          <w:tab w:val="left" w:pos="-720"/>
          <w:tab w:val="left" w:pos="0"/>
          <w:tab w:val="left" w:pos="851"/>
          <w:tab w:val="left" w:pos="1134"/>
          <w:tab w:val="left" w:pos="4536"/>
          <w:tab w:val="left" w:pos="5040"/>
        </w:tabs>
        <w:suppressAutoHyphens/>
        <w:ind w:hanging="1134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>
        <w:rPr>
          <w:rFonts w:ascii="Trebuchet MS" w:hAnsi="Trebuchet MS"/>
          <w:spacing w:val="-3"/>
        </w:rPr>
        <w:t xml:space="preserve">- </w:t>
      </w:r>
      <w:r w:rsidRPr="00864F96">
        <w:rPr>
          <w:rFonts w:ascii="Trebuchet MS" w:hAnsi="Trebuchet MS"/>
          <w:spacing w:val="-3"/>
        </w:rPr>
        <w:t>en relación con las actividades de los alumnos/as estarán a cargo de uno o más docentes simultáneamente, integrarán grupos de diferente número, edad, procedencia, etc.</w:t>
      </w:r>
    </w:p>
    <w:p w14:paraId="41BC51B5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70975582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lastRenderedPageBreak/>
        <w:tab/>
        <w:t xml:space="preserve"> </w:t>
      </w:r>
      <w:r w:rsidRPr="00864F96">
        <w:rPr>
          <w:rFonts w:ascii="Trebuchet MS" w:hAnsi="Trebuchet MS"/>
          <w:spacing w:val="-3"/>
        </w:rPr>
        <w:t xml:space="preserve">- advertirá, en los documentos oficiales que reciba (Boletín, Libreta, etc.), la denominación correspondiente a la nueva estructura. </w:t>
      </w:r>
    </w:p>
    <w:p w14:paraId="78B8446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</w:p>
    <w:p w14:paraId="5024034C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3"/>
        </w:rPr>
      </w:pPr>
      <w:r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>- será convocada a participar activamente para el logro de las metas previstas por la institución escolar, en el marco de los Títulos VII y VIII de la Ley 24.195.</w:t>
      </w:r>
    </w:p>
    <w:p w14:paraId="109F4E28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</w:rPr>
      </w:pPr>
    </w:p>
    <w:p w14:paraId="4A861C50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  <w:spacing w:val="-2"/>
        </w:rPr>
      </w:pPr>
    </w:p>
    <w:p w14:paraId="15F9035B" w14:textId="77777777" w:rsidR="00217281" w:rsidRPr="00864F96" w:rsidRDefault="00217281" w:rsidP="00217281">
      <w:pPr>
        <w:suppressAutoHyphens/>
        <w:spacing w:line="360" w:lineRule="auto"/>
        <w:jc w:val="center"/>
        <w:rPr>
          <w:rFonts w:ascii="Trebuchet MS" w:hAnsi="Trebuchet MS"/>
          <w:b/>
        </w:rPr>
      </w:pPr>
      <w:r w:rsidRPr="00864F96">
        <w:rPr>
          <w:rFonts w:ascii="Trebuchet MS" w:hAnsi="Trebuchet MS"/>
          <w:b/>
        </w:rPr>
        <w:t>ANEXO I</w:t>
      </w:r>
    </w:p>
    <w:p w14:paraId="0D0268D1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center"/>
        <w:rPr>
          <w:rFonts w:ascii="Trebuchet MS" w:hAnsi="Trebuchet MS"/>
          <w:b/>
          <w:spacing w:val="-3"/>
        </w:rPr>
      </w:pPr>
      <w:r w:rsidRPr="00864F96">
        <w:rPr>
          <w:rFonts w:ascii="Trebuchet MS" w:hAnsi="Trebuchet MS"/>
          <w:b/>
        </w:rPr>
        <w:t>RESOLUCION Nº 43/95 C.F.C. y E.</w:t>
      </w:r>
    </w:p>
    <w:p w14:paraId="307BDA97" w14:textId="77777777" w:rsidR="00217281" w:rsidRPr="00864F96" w:rsidRDefault="00217281" w:rsidP="00217281">
      <w:pPr>
        <w:tabs>
          <w:tab w:val="left" w:pos="0"/>
        </w:tabs>
        <w:suppressAutoHyphens/>
        <w:spacing w:line="360" w:lineRule="auto"/>
        <w:jc w:val="both"/>
        <w:rPr>
          <w:rFonts w:ascii="Trebuchet MS" w:hAnsi="Trebuchet MS"/>
          <w:b/>
          <w:spacing w:val="-3"/>
        </w:rPr>
      </w:pPr>
    </w:p>
    <w:p w14:paraId="1A7DA355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b/>
          <w:spacing w:val="-3"/>
        </w:rPr>
      </w:pPr>
    </w:p>
    <w:p w14:paraId="60EFAA80" w14:textId="77777777" w:rsidR="00217281" w:rsidRPr="00864F96" w:rsidRDefault="00217281" w:rsidP="00217281">
      <w:pPr>
        <w:tabs>
          <w:tab w:val="left" w:pos="0"/>
          <w:tab w:val="left" w:pos="282"/>
          <w:tab w:val="left" w:pos="720"/>
        </w:tabs>
        <w:suppressAutoHyphens/>
        <w:ind w:left="282" w:hanging="282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A:   En relación a la formula de certificación prevista en el punto Nº 2 de l</w:t>
      </w:r>
      <w:r>
        <w:rPr>
          <w:rFonts w:ascii="Trebuchet MS" w:hAnsi="Trebuchet MS"/>
          <w:spacing w:val="-3"/>
        </w:rPr>
        <w:t xml:space="preserve">a temática referida a “aspectos </w:t>
      </w:r>
      <w:r w:rsidRPr="00864F96">
        <w:rPr>
          <w:rFonts w:ascii="Trebuchet MS" w:hAnsi="Trebuchet MS"/>
          <w:spacing w:val="-3"/>
        </w:rPr>
        <w:t>normativos” el modelo propuesto es:</w:t>
      </w:r>
    </w:p>
    <w:p w14:paraId="656CDA4C" w14:textId="77777777" w:rsidR="00217281" w:rsidRPr="00864F96" w:rsidRDefault="00217281" w:rsidP="00217281">
      <w:pPr>
        <w:tabs>
          <w:tab w:val="left" w:pos="0"/>
          <w:tab w:val="left" w:pos="282"/>
          <w:tab w:val="left" w:pos="720"/>
        </w:tabs>
        <w:suppressAutoHyphens/>
        <w:ind w:left="282" w:hanging="282"/>
        <w:jc w:val="both"/>
        <w:rPr>
          <w:rFonts w:ascii="Trebuchet MS" w:hAnsi="Trebuchet MS"/>
          <w:spacing w:val="-3"/>
        </w:rPr>
      </w:pPr>
    </w:p>
    <w:p w14:paraId="1BFF81BC" w14:textId="77777777" w:rsidR="00217281" w:rsidRPr="00864F96" w:rsidRDefault="00217281" w:rsidP="00217281">
      <w:pPr>
        <w:tabs>
          <w:tab w:val="left" w:pos="0"/>
          <w:tab w:val="left" w:pos="282"/>
          <w:tab w:val="left" w:pos="720"/>
        </w:tabs>
        <w:suppressAutoHyphens/>
        <w:ind w:left="282" w:hanging="282"/>
        <w:jc w:val="both"/>
        <w:rPr>
          <w:rFonts w:ascii="Trebuchet MS" w:hAnsi="Trebuchet MS"/>
          <w:spacing w:val="-3"/>
        </w:rPr>
      </w:pPr>
    </w:p>
    <w:p w14:paraId="3420C0E5" w14:textId="77777777" w:rsidR="00217281" w:rsidRPr="00864F96" w:rsidRDefault="00217281" w:rsidP="00217281">
      <w:pPr>
        <w:tabs>
          <w:tab w:val="left" w:pos="1567"/>
          <w:tab w:val="left" w:pos="2287"/>
          <w:tab w:val="left" w:pos="3007"/>
          <w:tab w:val="left" w:pos="3727"/>
          <w:tab w:val="left" w:pos="4447"/>
          <w:tab w:val="left" w:pos="5167"/>
          <w:tab w:val="left" w:pos="5887"/>
          <w:tab w:val="left" w:pos="6607"/>
          <w:tab w:val="left" w:pos="7327"/>
          <w:tab w:val="left" w:pos="8047"/>
          <w:tab w:val="left" w:pos="8767"/>
        </w:tabs>
        <w:suppressAutoHyphens/>
        <w:ind w:left="283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</w:rPr>
        <w:t xml:space="preserve"> Certifico que..................................................</w:t>
      </w:r>
      <w:r>
        <w:rPr>
          <w:rFonts w:ascii="Trebuchet MS" w:hAnsi="Trebuchet MS"/>
        </w:rPr>
        <w:t xml:space="preserve"> </w:t>
      </w:r>
      <w:r w:rsidRPr="00864F96">
        <w:rPr>
          <w:rFonts w:ascii="Trebuchet MS" w:hAnsi="Trebuchet MS"/>
          <w:spacing w:val="-3"/>
        </w:rPr>
        <w:t xml:space="preserve"> cumplió el último año del Nivel Inicial</w:t>
      </w:r>
      <w:r>
        <w:rPr>
          <w:rFonts w:ascii="Trebuchet MS" w:hAnsi="Trebuchet MS"/>
          <w:spacing w:val="-3"/>
        </w:rPr>
        <w:t xml:space="preserve"> </w:t>
      </w:r>
      <w:r w:rsidRPr="00864F96">
        <w:rPr>
          <w:rFonts w:ascii="Trebuchet MS" w:hAnsi="Trebuchet MS"/>
          <w:spacing w:val="-3"/>
        </w:rPr>
        <w:t>(Ley 24.195)</w:t>
      </w:r>
    </w:p>
    <w:p w14:paraId="6794E27D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</w:p>
    <w:p w14:paraId="55C1B252" w14:textId="77777777" w:rsidR="00217281" w:rsidRPr="00864F96" w:rsidRDefault="00217281" w:rsidP="00217281">
      <w:pPr>
        <w:tabs>
          <w:tab w:val="left" w:pos="0"/>
          <w:tab w:val="left" w:pos="426"/>
          <w:tab w:val="left" w:pos="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>B:</w:t>
      </w:r>
      <w:r w:rsidRPr="00864F96">
        <w:rPr>
          <w:rFonts w:ascii="Trebuchet MS" w:hAnsi="Trebuchet MS"/>
          <w:spacing w:val="-3"/>
        </w:rPr>
        <w:tab/>
        <w:t xml:space="preserve">La nomenclatura señalada en el punto  3. de la temática referida a “aspectos normativos” acordado en la  </w:t>
      </w:r>
    </w:p>
    <w:p w14:paraId="02E2D6A0" w14:textId="77777777" w:rsidR="00217281" w:rsidRPr="00864F96" w:rsidRDefault="00217281" w:rsidP="00217281">
      <w:pPr>
        <w:tabs>
          <w:tab w:val="left" w:pos="0"/>
          <w:tab w:val="left" w:pos="426"/>
          <w:tab w:val="left" w:pos="720"/>
        </w:tabs>
        <w:suppressAutoHyphens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 xml:space="preserve">       Resolución Nº 41/95 C.F.C.yE. es la siguiente:</w:t>
      </w:r>
    </w:p>
    <w:p w14:paraId="53505BA4" w14:textId="77777777" w:rsidR="00217281" w:rsidRPr="00864F96" w:rsidRDefault="00217281" w:rsidP="00217281">
      <w:pPr>
        <w:tabs>
          <w:tab w:val="left" w:pos="0"/>
          <w:tab w:val="left" w:pos="426"/>
          <w:tab w:val="left" w:pos="720"/>
        </w:tabs>
        <w:suppressAutoHyphens/>
        <w:jc w:val="both"/>
        <w:rPr>
          <w:rFonts w:ascii="Trebuchet MS" w:hAnsi="Trebuchet MS"/>
          <w:spacing w:val="-3"/>
        </w:rPr>
      </w:pPr>
    </w:p>
    <w:p w14:paraId="4CD8802A" w14:textId="77777777" w:rsidR="00217281" w:rsidRPr="00864F96" w:rsidRDefault="00217281" w:rsidP="00217281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 xml:space="preserve">Para primer ciclo EGB </w:t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1º año EGB 1 - Ley 24.195</w:t>
      </w:r>
    </w:p>
    <w:p w14:paraId="28B9B715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2º año EGB 1 - Ley 24.195</w:t>
      </w:r>
    </w:p>
    <w:p w14:paraId="77B162B6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3º año EGB 1 - Ley 24.195</w:t>
      </w:r>
    </w:p>
    <w:p w14:paraId="6B24E842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</w:p>
    <w:p w14:paraId="01EF2DD5" w14:textId="77777777" w:rsidR="00217281" w:rsidRPr="00864F96" w:rsidRDefault="00217281" w:rsidP="00217281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Para segundo ciclo EGB</w:t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4º año EGB 2 - Ley 24.195</w:t>
      </w:r>
    </w:p>
    <w:p w14:paraId="4FBDEF9D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5º año EGB 2 - Ley 24.195</w:t>
      </w:r>
    </w:p>
    <w:p w14:paraId="449E2C75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6º año EGB 2 - Ley 24.195</w:t>
      </w:r>
    </w:p>
    <w:p w14:paraId="031C6DDB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</w:p>
    <w:p w14:paraId="74AF2CDE" w14:textId="77777777" w:rsidR="00217281" w:rsidRPr="00864F96" w:rsidRDefault="00217281" w:rsidP="00217281">
      <w:pPr>
        <w:tabs>
          <w:tab w:val="left" w:pos="0"/>
          <w:tab w:val="left" w:pos="426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  <w:t>Para tercer ciclo EGB</w:t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7º año EGB 3 - Ley 24.195</w:t>
      </w:r>
    </w:p>
    <w:p w14:paraId="7F593755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8º año EGB 3 - Ley 24.195</w:t>
      </w:r>
    </w:p>
    <w:p w14:paraId="1CACC45F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  <w:r w:rsidRPr="00864F96">
        <w:rPr>
          <w:rFonts w:ascii="Trebuchet MS" w:hAnsi="Trebuchet MS"/>
          <w:spacing w:val="-3"/>
        </w:rPr>
        <w:lastRenderedPageBreak/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</w:r>
      <w:r w:rsidRPr="00864F96">
        <w:rPr>
          <w:rFonts w:ascii="Trebuchet MS" w:hAnsi="Trebuchet MS"/>
          <w:spacing w:val="-3"/>
        </w:rPr>
        <w:tab/>
        <w:t>9º año EGB 3 - Ley 24.195</w:t>
      </w:r>
    </w:p>
    <w:p w14:paraId="2AF63A2B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</w:p>
    <w:p w14:paraId="43224C4D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</w:p>
    <w:p w14:paraId="15D60728" w14:textId="77777777" w:rsidR="00217281" w:rsidRPr="00864F96" w:rsidRDefault="00217281" w:rsidP="002172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119"/>
          <w:tab w:val="left" w:pos="3600"/>
        </w:tabs>
        <w:suppressAutoHyphens/>
        <w:ind w:left="3119" w:hanging="3119"/>
        <w:jc w:val="both"/>
        <w:rPr>
          <w:rFonts w:ascii="Trebuchet MS" w:hAnsi="Trebuchet MS"/>
          <w:spacing w:val="-3"/>
        </w:rPr>
      </w:pPr>
    </w:p>
    <w:p w14:paraId="4EDD538F" w14:textId="77777777" w:rsidR="00217281" w:rsidRPr="00864F96" w:rsidRDefault="00217281" w:rsidP="00217281">
      <w:pPr>
        <w:tabs>
          <w:tab w:val="left" w:pos="0"/>
        </w:tabs>
        <w:suppressAutoHyphens/>
        <w:jc w:val="both"/>
        <w:rPr>
          <w:rFonts w:ascii="Trebuchet MS" w:hAnsi="Trebuchet MS"/>
          <w:spacing w:val="-3"/>
        </w:rPr>
      </w:pPr>
    </w:p>
    <w:p w14:paraId="1BDB8079" w14:textId="77777777" w:rsidR="00217281" w:rsidRPr="00864F96" w:rsidRDefault="00217281" w:rsidP="00217281">
      <w:pPr>
        <w:tabs>
          <w:tab w:val="left" w:pos="-720"/>
        </w:tabs>
        <w:suppressAutoHyphens/>
        <w:jc w:val="both"/>
        <w:rPr>
          <w:rFonts w:ascii="Trebuchet MS" w:hAnsi="Trebuchet MS"/>
        </w:rPr>
      </w:pPr>
    </w:p>
    <w:p w14:paraId="4EDC6E88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</w:p>
    <w:p w14:paraId="798949AB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</w:p>
    <w:p w14:paraId="22DC2567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</w:p>
    <w:p w14:paraId="729392B1" w14:textId="77777777" w:rsidR="00217281" w:rsidRPr="00864F96" w:rsidRDefault="00217281" w:rsidP="00217281">
      <w:pPr>
        <w:rPr>
          <w:rFonts w:ascii="Trebuchet MS" w:hAnsi="Trebuchet MS"/>
        </w:rPr>
      </w:pPr>
    </w:p>
    <w:p w14:paraId="226F8BEF" w14:textId="77777777" w:rsidR="00217281" w:rsidRPr="00864F96" w:rsidRDefault="00217281" w:rsidP="00217281">
      <w:pPr>
        <w:jc w:val="center"/>
        <w:rPr>
          <w:rFonts w:ascii="Trebuchet MS" w:hAnsi="Trebuchet MS"/>
          <w:b/>
        </w:rPr>
      </w:pPr>
    </w:p>
    <w:p w14:paraId="2C581E93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4B99C392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64F08D88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7B727DE8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725535DF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4A00B14F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179F02F0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4A405F7E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229C485B" w14:textId="77777777" w:rsidR="00217281" w:rsidRPr="00864F96" w:rsidRDefault="00217281" w:rsidP="00217281">
      <w:pPr>
        <w:jc w:val="center"/>
        <w:rPr>
          <w:rFonts w:ascii="Trebuchet MS" w:hAnsi="Trebuchet MS"/>
          <w:b/>
          <w:lang w:val="es-MX"/>
        </w:rPr>
      </w:pPr>
    </w:p>
    <w:p w14:paraId="60908DE5" w14:textId="77777777" w:rsidR="00217281" w:rsidRPr="00864F96" w:rsidRDefault="00217281" w:rsidP="00217281">
      <w:pPr>
        <w:rPr>
          <w:rFonts w:ascii="Trebuchet MS" w:hAnsi="Trebuchet MS"/>
          <w:b/>
          <w:lang w:val="es-MX"/>
        </w:rPr>
      </w:pPr>
    </w:p>
    <w:p w14:paraId="24A064EE" w14:textId="77777777" w:rsidR="00217281" w:rsidRPr="008213CD" w:rsidRDefault="00217281" w:rsidP="00217281">
      <w:pPr>
        <w:rPr>
          <w:rFonts w:ascii="Trebuchet MS" w:hAnsi="Trebuchet MS"/>
          <w:b/>
          <w:lang w:val="es-MX"/>
        </w:rPr>
      </w:pPr>
    </w:p>
    <w:p w14:paraId="6CDB0543" w14:textId="0E5515F3" w:rsidR="00592F1B" w:rsidRDefault="00E92FFD">
      <w:r>
        <w:t xml:space="preserve"> </w:t>
      </w:r>
    </w:p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36C47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217281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1189</Words>
  <Characters>6541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2021-05-04T13:05:00Z</dcterms:created>
  <dcterms:modified xsi:type="dcterms:W3CDTF">2021-05-04T13:05:00Z</dcterms:modified>
</cp:coreProperties>
</file>