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1C2ED" w14:textId="77777777" w:rsidR="00730838" w:rsidRDefault="00730838" w:rsidP="00730838">
      <w:pPr>
        <w:widowControl w:val="0"/>
        <w:autoSpaceDE w:val="0"/>
        <w:autoSpaceDN w:val="0"/>
        <w:adjustRightInd w:val="0"/>
        <w:spacing w:before="8" w:after="0" w:line="240" w:lineRule="auto"/>
        <w:ind w:right="-1"/>
        <w:rPr>
          <w:rFonts w:ascii="Times New Roman" w:hAnsi="Times New Roman" w:cs="Times New Roman"/>
          <w:sz w:val="21"/>
          <w:szCs w:val="21"/>
          <w:lang w:val="es-ES"/>
        </w:rPr>
      </w:pPr>
    </w:p>
    <w:p w14:paraId="321FFC0E" w14:textId="77777777" w:rsidR="00730838" w:rsidRDefault="00730838" w:rsidP="00730838">
      <w:pPr>
        <w:widowControl w:val="0"/>
        <w:autoSpaceDE w:val="0"/>
        <w:autoSpaceDN w:val="0"/>
        <w:adjustRightInd w:val="0"/>
        <w:spacing w:after="0" w:line="20" w:lineRule="exact"/>
        <w:ind w:right="-1"/>
        <w:rPr>
          <w:rFonts w:ascii="Times New Roman" w:hAnsi="Times New Roman" w:cs="Times New Roman"/>
          <w:sz w:val="2"/>
          <w:szCs w:val="2"/>
          <w:lang w:val="es-ES"/>
        </w:rPr>
      </w:pPr>
    </w:p>
    <w:p w14:paraId="10156587" w14:textId="77777777" w:rsidR="00730838" w:rsidRDefault="00730838" w:rsidP="0073083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FE4A79D" w14:textId="77777777" w:rsidR="00730838" w:rsidRDefault="00730838" w:rsidP="00730838">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2A4A09A" w14:textId="77777777" w:rsidR="00730838" w:rsidRDefault="00730838" w:rsidP="00730838">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ACTUALIZACIÓN SUELDOS PERSONAL NO DOCENTE DE ESTABLECIMIENTOS PRIVADOS </w:t>
      </w:r>
    </w:p>
    <w:p w14:paraId="21FEF506" w14:textId="00B1E8C6" w:rsidR="00730838" w:rsidRDefault="00730838" w:rsidP="00730838">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GREMIAL DE ENSEÑANZA PRIVADA</w:t>
      </w:r>
    </w:p>
    <w:p w14:paraId="4D0AA97E" w14:textId="77777777" w:rsidR="00730838" w:rsidRDefault="00730838" w:rsidP="00730838">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5/2005</w:t>
      </w:r>
    </w:p>
    <w:p w14:paraId="2D151719" w14:textId="3616C882" w:rsidR="00730838" w:rsidRDefault="00730838" w:rsidP="00730838">
      <w:pPr>
        <w:widowControl w:val="0"/>
        <w:autoSpaceDE w:val="0"/>
        <w:autoSpaceDN w:val="0"/>
        <w:adjustRightInd w:val="0"/>
        <w:spacing w:before="2" w:after="0" w:line="240" w:lineRule="auto"/>
        <w:ind w:right="-1"/>
        <w:rPr>
          <w:rFonts w:ascii="Times New Roman" w:hAnsi="Times New Roman" w:cs="Times New Roman"/>
          <w:b/>
          <w:bCs/>
          <w:sz w:val="16"/>
          <w:szCs w:val="16"/>
          <w:lang w:val="es-ES"/>
        </w:rPr>
      </w:pPr>
      <w:bookmarkStart w:id="0" w:name="_GoBack"/>
      <w:bookmarkEnd w:id="0"/>
    </w:p>
    <w:p w14:paraId="1D23E922" w14:textId="77777777" w:rsidR="00730838" w:rsidRDefault="00730838" w:rsidP="00730838">
      <w:pPr>
        <w:widowControl w:val="0"/>
        <w:autoSpaceDE w:val="0"/>
        <w:autoSpaceDN w:val="0"/>
        <w:adjustRightInd w:val="0"/>
        <w:spacing w:before="10" w:after="0" w:line="240" w:lineRule="auto"/>
        <w:ind w:right="-1"/>
        <w:rPr>
          <w:rFonts w:ascii="Times New Roman" w:hAnsi="Times New Roman" w:cs="Times New Roman"/>
          <w:b/>
          <w:bCs/>
          <w:sz w:val="6"/>
          <w:szCs w:val="6"/>
          <w:lang w:val="es-ES"/>
        </w:rPr>
      </w:pPr>
    </w:p>
    <w:p w14:paraId="443BA995" w14:textId="2316F9D9" w:rsidR="00730838" w:rsidRDefault="00730838" w:rsidP="00730838">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r>
        <w:rPr>
          <w:rFonts w:ascii="Trebuchet MS" w:hAnsi="Trebuchet MS" w:cs="Trebuchet MS"/>
          <w:noProof/>
          <w:sz w:val="19"/>
          <w:szCs w:val="19"/>
          <w:lang w:val="es-ES" w:eastAsia="es-ES"/>
        </w:rPr>
        <mc:AlternateContent>
          <mc:Choice Requires="wps">
            <w:drawing>
              <wp:anchor distT="0" distB="0" distL="0" distR="0" simplePos="0" relativeHeight="251658240" behindDoc="1" locked="0" layoutInCell="1" allowOverlap="1" wp14:editId="32B547FB">
                <wp:simplePos x="0" y="0"/>
                <wp:positionH relativeFrom="page">
                  <wp:posOffset>2116455</wp:posOffset>
                </wp:positionH>
                <wp:positionV relativeFrom="paragraph">
                  <wp:posOffset>30480</wp:posOffset>
                </wp:positionV>
                <wp:extent cx="3200400" cy="685800"/>
                <wp:effectExtent l="0" t="0" r="25400" b="25400"/>
                <wp:wrapThrough wrapText="bothSides">
                  <wp:wrapPolygon edited="0">
                    <wp:start x="0" y="0"/>
                    <wp:lineTo x="0" y="21600"/>
                    <wp:lineTo x="21600" y="21600"/>
                    <wp:lineTo x="2160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w="2667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C99E24" w14:textId="77777777" w:rsidR="00730838" w:rsidRDefault="00730838" w:rsidP="00730838">
                            <w:pPr>
                              <w:spacing w:before="9"/>
                              <w:ind w:left="1013"/>
                              <w:rPr>
                                <w:b/>
                                <w:sz w:val="19"/>
                              </w:rPr>
                            </w:pPr>
                            <w:r>
                              <w:rPr>
                                <w:b/>
                                <w:sz w:val="19"/>
                                <w:u w:val="single"/>
                              </w:rPr>
                              <w:t>MODIFICADA POR LAS RESOLUCIONES</w:t>
                            </w:r>
                          </w:p>
                          <w:p w14:paraId="67C491E2" w14:textId="77777777" w:rsidR="00730838" w:rsidRDefault="00730838" w:rsidP="00730838">
                            <w:pPr>
                              <w:pStyle w:val="Textodecuerpo"/>
                              <w:spacing w:before="8"/>
                              <w:jc w:val="center"/>
                              <w:rPr>
                                <w:b/>
                                <w:sz w:val="18"/>
                              </w:rPr>
                            </w:pPr>
                          </w:p>
                          <w:p w14:paraId="7B1D7DE3" w14:textId="77777777" w:rsidR="00730838" w:rsidRDefault="00730838" w:rsidP="00730838">
                            <w:pPr>
                              <w:ind w:left="1057"/>
                              <w:rPr>
                                <w:b/>
                                <w:sz w:val="19"/>
                              </w:rPr>
                            </w:pPr>
                            <w:r>
                              <w:rPr>
                                <w:b/>
                                <w:sz w:val="19"/>
                              </w:rPr>
                              <w:t>RESOLUCIÓN N° 3 / 2006 DEL CGEP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166.65pt;margin-top:2.4pt;width:252pt;height: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ukRocCAAAgBQAADgAAAGRycy9lMm9Eb2MueG1srFRtb9sgEP4+af8B8T21nbpZatWpOieZJnUv&#10;UrcfQAyO0TDnAYnTTfvvOyBO0/XLNM0f8MEdD/fcPXBze+gU2QtjJeiSZhcpJULXwKXelvTrl/Vk&#10;Tol1THOmQIuSPgpLbxevX90MfSGm0ILiwhAE0bYY+pK2zvVFkti6FR2zF9ALjc4GTMccTs024YYN&#10;iN6pZJqms2QAw3sDtbAWV5fRSRcBv2lE7T41jRWOqJJibi6MJowbPyaLG1ZsDetbWR/TYP+QRcek&#10;xkNPUEvmGNkZ+QKqk7UBC427qKFLoGlkLQIHZJOlf7B5aFkvAhcsju1PZbL/D7b+uP9siOTYO0o0&#10;67BF1Y5xA4QL4sTBAcl8kYbeFhj70GO0O7yFg9/gCdv+HupvlmioWqa34s4YGFrBOCYZdiZnWyOO&#10;9SCb4QNwPI3tHASgQ2M6D4g1IYiOzXo8NQjzIDUuXmLL8xRdNfpm86s52phcwopxd2+seyegI94o&#10;qUEBBHS2v7cuho4h/jANa6lUEIHSZCjpdDZ7k0ZioCT33sDSbDeVMmTPvI7CdzzYnod56CWzbYwL&#10;rqiwTjqUuZJdSTFn/OKyr9NK83C+Y1JFG+ko7U9F2pj10Ypy+nmdXq/mq3k+yaez1SRPOZ/crat8&#10;Mltnb66Wl8uqWma/PIEsL1rJudCewyjtLP876RwvWRTlSdzPuNrzkqzD97IkyfM0QquQ1fgP7IJA&#10;vCaiOtxhc8CCeNVsgD+iVAzEa4vPDBotmB+UDHhlS2q/75gRlKj3GuXm7/domNHYjAbTNW4tqaMk&#10;mpWL78CuN3LbInIUtIY7lGQjg1qessCU/QSvYUj++GT4e34+D1FPD9viNwAAAP//AwBQSwMEFAAG&#10;AAgAAAAhAPEsNxDcAAAACQEAAA8AAABkcnMvZG93bnJldi54bWxMj8FOwzAQRO9I/IO1SNyo0wRB&#10;GuJUBQQ3Di0cenTirROI1yF20/D3LKeyt9E8zc6U69n1YsIxdJ4ULBcJCKTGm46sgo/3l5scRIia&#10;jO49oYIfDLCuLi9KXRh/oi1Ou2gFh1AotII2xqGQMjQtOh0WfkBi7+BHpyPL0Uoz6hOHu16mSXIn&#10;ne6IP7R6wKcWm6/d0Sl4/myG/esm287WPvbp4XtVT+ZNqeurefMAIuIczzD81efqUHGn2h/JBNEr&#10;yPgYVXDLC9jPs3vWNYPLNAdZlfL/guoXAAD//wMAUEsBAi0AFAAGAAgAAAAhAOSZw8D7AAAA4QEA&#10;ABMAAAAAAAAAAAAAAAAAAAAAAFtDb250ZW50X1R5cGVzXS54bWxQSwECLQAUAAYACAAAACEAI7Jq&#10;4dcAAACUAQAACwAAAAAAAAAAAAAAAAAsAQAAX3JlbHMvLnJlbHNQSwECLQAUAAYACAAAACEAIZuk&#10;RocCAAAgBQAADgAAAAAAAAAAAAAAAAAsAgAAZHJzL2Uyb0RvYy54bWxQSwECLQAUAAYACAAAACEA&#10;8Sw3ENwAAAAJAQAADwAAAAAAAAAAAAAAAADfBAAAZHJzL2Rvd25yZXYueG1sUEsFBgAAAAAEAAQA&#10;8wAAAOgFAAAAAA==&#10;" filled="f" strokeweight="2.1pt">
                <v:textbox inset="0,0,0,0">
                  <w:txbxContent>
                    <w:p w14:paraId="0EC99E24" w14:textId="77777777" w:rsidR="00730838" w:rsidRDefault="00730838" w:rsidP="00730838">
                      <w:pPr>
                        <w:spacing w:before="9"/>
                        <w:ind w:left="1013"/>
                        <w:rPr>
                          <w:b/>
                          <w:sz w:val="19"/>
                        </w:rPr>
                      </w:pPr>
                      <w:r>
                        <w:rPr>
                          <w:b/>
                          <w:sz w:val="19"/>
                          <w:u w:val="single"/>
                        </w:rPr>
                        <w:t>MODIFICADA POR LAS RESOLUCIONES</w:t>
                      </w:r>
                    </w:p>
                    <w:p w14:paraId="67C491E2" w14:textId="77777777" w:rsidR="00730838" w:rsidRDefault="00730838" w:rsidP="00730838">
                      <w:pPr>
                        <w:pStyle w:val="Textodecuerpo"/>
                        <w:spacing w:before="8"/>
                        <w:jc w:val="center"/>
                        <w:rPr>
                          <w:b/>
                          <w:sz w:val="18"/>
                        </w:rPr>
                      </w:pPr>
                    </w:p>
                    <w:p w14:paraId="7B1D7DE3" w14:textId="77777777" w:rsidR="00730838" w:rsidRDefault="00730838" w:rsidP="00730838">
                      <w:pPr>
                        <w:ind w:left="1057"/>
                        <w:rPr>
                          <w:b/>
                          <w:sz w:val="19"/>
                        </w:rPr>
                      </w:pPr>
                      <w:r>
                        <w:rPr>
                          <w:b/>
                          <w:sz w:val="19"/>
                        </w:rPr>
                        <w:t>RESOLUCIÓN N° 3 / 2006 DEL CGEP</w:t>
                      </w:r>
                    </w:p>
                  </w:txbxContent>
                </v:textbox>
                <w10:wrap type="through" anchorx="page"/>
              </v:shape>
            </w:pict>
          </mc:Fallback>
        </mc:AlternateContent>
      </w:r>
    </w:p>
    <w:p w14:paraId="3FE585B3" w14:textId="77777777" w:rsidR="00730838" w:rsidRDefault="00730838" w:rsidP="00730838">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p>
    <w:p w14:paraId="1E78BB24" w14:textId="77777777" w:rsidR="00730838" w:rsidRDefault="00730838" w:rsidP="00730838">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p>
    <w:p w14:paraId="18B01605" w14:textId="77777777" w:rsidR="00730838" w:rsidRDefault="00730838" w:rsidP="00730838">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p>
    <w:p w14:paraId="6F9732F6" w14:textId="77777777" w:rsidR="00730838" w:rsidRDefault="00730838" w:rsidP="00730838">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p>
    <w:p w14:paraId="05B38908" w14:textId="77777777" w:rsidR="00730838" w:rsidRDefault="00730838" w:rsidP="00730838">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12 de abril de 2005.</w:t>
      </w:r>
    </w:p>
    <w:p w14:paraId="539CBCEA" w14:textId="77777777" w:rsidR="00730838" w:rsidRDefault="00730838" w:rsidP="00730838">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3F084203" w14:textId="77777777" w:rsidR="00730838" w:rsidRDefault="00730838" w:rsidP="00730838">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3AD9413C" w14:textId="77777777" w:rsidR="00730838" w:rsidRDefault="00730838" w:rsidP="00730838">
      <w:pPr>
        <w:widowControl w:val="0"/>
        <w:autoSpaceDE w:val="0"/>
        <w:autoSpaceDN w:val="0"/>
        <w:adjustRightInd w:val="0"/>
        <w:spacing w:before="2" w:after="0" w:line="235" w:lineRule="auto"/>
        <w:ind w:right="-1"/>
        <w:rPr>
          <w:rFonts w:ascii="Trebuchet MS" w:hAnsi="Trebuchet MS" w:cs="Trebuchet MS"/>
          <w:kern w:val="1"/>
          <w:sz w:val="19"/>
          <w:szCs w:val="19"/>
          <w:lang w:val="es-ES"/>
        </w:rPr>
      </w:pPr>
      <w:r>
        <w:rPr>
          <w:rFonts w:ascii="Trebuchet MS" w:hAnsi="Trebuchet MS" w:cs="Trebuchet MS"/>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otorgadas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Enseñanza 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p>
    <w:p w14:paraId="3BA873F6" w14:textId="77777777" w:rsidR="00730838" w:rsidRDefault="00730838" w:rsidP="007308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875840D" w14:textId="77777777" w:rsidR="00730838" w:rsidRDefault="00730838" w:rsidP="00730838">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5F57BED6" w14:textId="77777777" w:rsidR="00730838" w:rsidRDefault="00730838" w:rsidP="00730838">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6C2949BF" w14:textId="77777777" w:rsidR="00730838" w:rsidRDefault="00730838" w:rsidP="0073083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 competencia de este Consejo Gremial el tratamiento de las cuestiones relativas al sueldo del personal docente que se desempeña en establecimientos educativos de gestión privada conforme lo establecido por el Estatuto del Personal dependiente de Establecimientos de Enseñanza Privada;</w:t>
      </w:r>
    </w:p>
    <w:p w14:paraId="06FF1AC7" w14:textId="77777777" w:rsidR="00730838" w:rsidRDefault="00730838" w:rsidP="007308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3B2F779" w14:textId="77777777" w:rsidR="00730838" w:rsidRDefault="00730838" w:rsidP="007308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 hace necesario proceder a una recomposición salarial de los docentes que no integran la planta orgánica funcional de los establecimientos educativos reconocidos por autoridad jurisdiccional, atendiendo la política que ha comenzado en el año 2005 este Consejo Gremial de Enseñanza Privada;</w:t>
      </w:r>
    </w:p>
    <w:p w14:paraId="03CC92C2" w14:textId="77777777" w:rsidR="00730838" w:rsidRDefault="00730838" w:rsidP="007308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A26DFFC" w14:textId="77777777" w:rsidR="00730838" w:rsidRDefault="00730838" w:rsidP="0073083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Que las remuneraciones del personal referido no han tenido incremento desde el 27 de Febrero de</w:t>
      </w:r>
    </w:p>
    <w:p w14:paraId="206BB9A4" w14:textId="77777777" w:rsidR="00730838" w:rsidRDefault="00730838" w:rsidP="0073083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1998;</w:t>
      </w:r>
    </w:p>
    <w:p w14:paraId="5FBD7C0D" w14:textId="77777777" w:rsidR="00730838" w:rsidRDefault="00730838" w:rsidP="0073083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34CF6C3" w14:textId="77777777" w:rsidR="00730838" w:rsidRDefault="00730838" w:rsidP="00730838">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05 de abril de 2005, se aprobó por mayoría el dictado del presente acto</w:t>
      </w:r>
    </w:p>
    <w:p w14:paraId="3AA349DE" w14:textId="77777777" w:rsidR="00730838" w:rsidRDefault="00730838" w:rsidP="00730838">
      <w:pPr>
        <w:widowControl w:val="0"/>
        <w:autoSpaceDE w:val="0"/>
        <w:autoSpaceDN w:val="0"/>
        <w:adjustRightInd w:val="0"/>
        <w:spacing w:after="0" w:line="47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administrativo, conforme lo determina la Ley 13.047 en sus Artículos 18 inciso b) y 31; Por ello, en uso de facultades propias</w:t>
      </w:r>
    </w:p>
    <w:p w14:paraId="255597E1" w14:textId="77777777" w:rsidR="00730838" w:rsidRDefault="00730838" w:rsidP="00730838">
      <w:pPr>
        <w:widowControl w:val="0"/>
        <w:autoSpaceDE w:val="0"/>
        <w:autoSpaceDN w:val="0"/>
        <w:adjustRightInd w:val="0"/>
        <w:spacing w:after="0" w:line="47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 REUNIDO EN SESIÓN ORDINARIA</w:t>
      </w:r>
    </w:p>
    <w:p w14:paraId="5FB04F21" w14:textId="77777777" w:rsidR="00730838" w:rsidRDefault="00730838" w:rsidP="00730838">
      <w:pPr>
        <w:widowControl w:val="0"/>
        <w:autoSpaceDE w:val="0"/>
        <w:autoSpaceDN w:val="0"/>
        <w:adjustRightInd w:val="0"/>
        <w:spacing w:after="0" w:line="217"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09D88E44" w14:textId="77777777" w:rsidR="00730838" w:rsidRDefault="00730838" w:rsidP="0073083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3D6820C" w14:textId="77777777" w:rsidR="00730838" w:rsidRDefault="00730838" w:rsidP="007308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incluido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desempeña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 los establecimientos privados de enseñanza comprendidos en el Artículo 2</w:t>
      </w:r>
      <w:r>
        <w:rPr>
          <w:rFonts w:ascii="Trebuchet MS" w:hAnsi="Trebuchet MS" w:cs="Trebuchet MS"/>
          <w:kern w:val="1"/>
          <w:sz w:val="19"/>
          <w:szCs w:val="19"/>
          <w:vertAlign w:val="superscript"/>
          <w:lang w:val="es-ES"/>
        </w:rPr>
        <w:t>o</w:t>
      </w:r>
      <w:r>
        <w:rPr>
          <w:rFonts w:ascii="Trebuchet MS" w:hAnsi="Trebuchet MS" w:cs="Trebuchet MS"/>
          <w:kern w:val="1"/>
          <w:sz w:val="19"/>
          <w:szCs w:val="19"/>
          <w:lang w:val="es-ES"/>
        </w:rPr>
        <w:t>, inciso a) de la misma, los siguientes sueldos mínimos, los que regirán a partir del 1</w:t>
      </w:r>
      <w:r>
        <w:rPr>
          <w:rFonts w:ascii="Trebuchet MS" w:hAnsi="Trebuchet MS" w:cs="Trebuchet MS"/>
          <w:kern w:val="1"/>
          <w:sz w:val="19"/>
          <w:szCs w:val="19"/>
          <w:vertAlign w:val="superscript"/>
          <w:lang w:val="es-ES"/>
        </w:rPr>
        <w:t>o</w:t>
      </w:r>
      <w:r>
        <w:rPr>
          <w:rFonts w:ascii="Trebuchet MS" w:hAnsi="Trebuchet MS" w:cs="Trebuchet MS"/>
          <w:kern w:val="1"/>
          <w:sz w:val="19"/>
          <w:szCs w:val="19"/>
          <w:lang w:val="es-ES"/>
        </w:rPr>
        <w:t xml:space="preserve"> de Abril de 2005 conforme se detalla a continuación:</w:t>
      </w:r>
    </w:p>
    <w:p w14:paraId="6747DACD" w14:textId="77777777" w:rsidR="00730838" w:rsidRDefault="00730838" w:rsidP="00730838">
      <w:pPr>
        <w:widowControl w:val="0"/>
        <w:autoSpaceDE w:val="0"/>
        <w:autoSpaceDN w:val="0"/>
        <w:adjustRightInd w:val="0"/>
        <w:spacing w:before="11" w:after="0" w:line="240" w:lineRule="auto"/>
        <w:ind w:right="-1"/>
        <w:rPr>
          <w:rFonts w:ascii="Times New Roman" w:hAnsi="Times New Roman" w:cs="Times New Roman"/>
          <w:kern w:val="1"/>
          <w:sz w:val="13"/>
          <w:szCs w:val="13"/>
          <w:lang w:val="es-ES"/>
        </w:rPr>
      </w:pPr>
    </w:p>
    <w:p w14:paraId="3F0873CA" w14:textId="6A86ADA2" w:rsidR="00730838" w:rsidRDefault="00730838" w:rsidP="00730838">
      <w:pPr>
        <w:widowControl w:val="0"/>
        <w:tabs>
          <w:tab w:val="left" w:pos="331"/>
        </w:tabs>
        <w:autoSpaceDE w:val="0"/>
        <w:autoSpaceDN w:val="0"/>
        <w:adjustRightInd w:val="0"/>
        <w:spacing w:before="100"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preceptor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incluido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Estatuto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sesenta minutos</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$ 18,59</w:t>
      </w:r>
    </w:p>
    <w:p w14:paraId="51F64491" w14:textId="77777777" w:rsidR="00730838" w:rsidRDefault="00730838" w:rsidP="00730838">
      <w:pPr>
        <w:widowControl w:val="0"/>
        <w:tabs>
          <w:tab w:val="left" w:pos="337"/>
          <w:tab w:val="left" w:pos="8480"/>
        </w:tabs>
        <w:autoSpaceDE w:val="0"/>
        <w:autoSpaceDN w:val="0"/>
        <w:adjustRightInd w:val="0"/>
        <w:spacing w:before="54" w:after="0" w:line="300" w:lineRule="auto"/>
        <w:ind w:right="-1"/>
        <w:rPr>
          <w:rFonts w:ascii="Trebuchet MS" w:hAnsi="Trebuchet MS" w:cs="Trebuchet MS"/>
          <w:spacing w:val="-1"/>
          <w:kern w:val="1"/>
          <w:sz w:val="19"/>
          <w:szCs w:val="19"/>
          <w:lang w:val="es-ES"/>
        </w:rPr>
      </w:pPr>
    </w:p>
    <w:p w14:paraId="424EE5FF" w14:textId="241EF052" w:rsidR="00730838" w:rsidRDefault="00730838" w:rsidP="00730838">
      <w:pPr>
        <w:widowControl w:val="0"/>
        <w:tabs>
          <w:tab w:val="left" w:pos="337"/>
          <w:tab w:val="left" w:pos="8480"/>
        </w:tabs>
        <w:autoSpaceDE w:val="0"/>
        <w:autoSpaceDN w:val="0"/>
        <w:adjustRightInd w:val="0"/>
        <w:spacing w:before="54" w:after="0" w:line="300" w:lineRule="auto"/>
        <w:ind w:right="-1"/>
        <w:rPr>
          <w:rFonts w:ascii="Times New Roman" w:hAnsi="Times New Roman" w:cs="Times New Roman"/>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Director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Idiomática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cumpla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diarias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tarea: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631.80 Cuando posea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 xml:space="preserve">habilitante </w:t>
      </w:r>
      <w:r>
        <w:rPr>
          <w:rFonts w:ascii="Trebuchet MS" w:hAnsi="Trebuchet MS" w:cs="Trebuchet MS"/>
          <w:kern w:val="1"/>
          <w:sz w:val="19"/>
          <w:szCs w:val="19"/>
          <w:lang w:val="es-ES"/>
        </w:rPr>
        <w:t>$</w:t>
      </w:r>
      <w:r>
        <w:rPr>
          <w:rFonts w:ascii="Trebuchet MS" w:hAnsi="Trebuchet MS" w:cs="Trebuchet MS"/>
          <w:spacing w:val="-2"/>
          <w:kern w:val="1"/>
          <w:sz w:val="19"/>
          <w:szCs w:val="19"/>
          <w:lang w:val="es-ES"/>
        </w:rPr>
        <w:t xml:space="preserve"> </w:t>
      </w:r>
      <w:r>
        <w:rPr>
          <w:rFonts w:ascii="Trebuchet MS" w:hAnsi="Trebuchet MS" w:cs="Trebuchet MS"/>
          <w:spacing w:val="-4"/>
          <w:kern w:val="1"/>
          <w:sz w:val="19"/>
          <w:szCs w:val="19"/>
          <w:lang w:val="es-ES"/>
        </w:rPr>
        <w:t>656.70</w:t>
      </w:r>
    </w:p>
    <w:p w14:paraId="6FB15327" w14:textId="77777777" w:rsidR="00730838" w:rsidRDefault="00730838" w:rsidP="00730838">
      <w:pPr>
        <w:widowControl w:val="0"/>
        <w:tabs>
          <w:tab w:val="left" w:pos="327"/>
        </w:tabs>
        <w:autoSpaceDE w:val="0"/>
        <w:autoSpaceDN w:val="0"/>
        <w:adjustRightInd w:val="0"/>
        <w:spacing w:before="1" w:after="0" w:line="237" w:lineRule="auto"/>
        <w:ind w:right="-1"/>
        <w:rPr>
          <w:rFonts w:ascii="Trebuchet MS" w:hAnsi="Trebuchet MS" w:cs="Trebuchet MS"/>
          <w:spacing w:val="-1"/>
          <w:kern w:val="1"/>
          <w:sz w:val="19"/>
          <w:szCs w:val="19"/>
          <w:lang w:val="es-ES"/>
        </w:rPr>
      </w:pPr>
    </w:p>
    <w:p w14:paraId="3C7326F5" w14:textId="441AACFD" w:rsidR="00730838" w:rsidRDefault="00730838" w:rsidP="00730838">
      <w:pPr>
        <w:widowControl w:val="0"/>
        <w:tabs>
          <w:tab w:val="left" w:pos="327"/>
        </w:tabs>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personal docente no comprendido en el Estatuto del Docente (Ley 14.473) y que presta servicios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incorporados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devengará</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retribución mínima mensual, por cada hora semanal de sesenta minutos de</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duración</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$ 19.37</w:t>
      </w:r>
    </w:p>
    <w:p w14:paraId="28AA521B" w14:textId="03F52054" w:rsidR="00730838" w:rsidRDefault="00730838" w:rsidP="00730838">
      <w:pPr>
        <w:widowControl w:val="0"/>
        <w:tabs>
          <w:tab w:val="left" w:pos="8480"/>
        </w:tabs>
        <w:autoSpaceDE w:val="0"/>
        <w:autoSpaceDN w:val="0"/>
        <w:adjustRightInd w:val="0"/>
        <w:spacing w:before="54"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posea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 xml:space="preserve">habilitante </w:t>
      </w:r>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21.06</w:t>
      </w:r>
    </w:p>
    <w:p w14:paraId="6DE5F022" w14:textId="77777777" w:rsidR="00730838" w:rsidRDefault="00730838" w:rsidP="00730838">
      <w:pPr>
        <w:widowControl w:val="0"/>
        <w:tabs>
          <w:tab w:val="left" w:pos="337"/>
        </w:tabs>
        <w:autoSpaceDE w:val="0"/>
        <w:autoSpaceDN w:val="0"/>
        <w:adjustRightInd w:val="0"/>
        <w:spacing w:before="88" w:after="0" w:line="240" w:lineRule="auto"/>
        <w:ind w:right="-1"/>
        <w:rPr>
          <w:rFonts w:ascii="Trebuchet MS" w:hAnsi="Trebuchet MS" w:cs="Trebuchet MS"/>
          <w:spacing w:val="-1"/>
          <w:kern w:val="1"/>
          <w:sz w:val="19"/>
          <w:szCs w:val="19"/>
          <w:lang w:val="es-ES"/>
        </w:rPr>
      </w:pPr>
    </w:p>
    <w:p w14:paraId="291CAC21" w14:textId="77777777" w:rsidR="00730838" w:rsidRDefault="00730838" w:rsidP="00730838">
      <w:pPr>
        <w:widowControl w:val="0"/>
        <w:tabs>
          <w:tab w:val="left" w:pos="337"/>
        </w:tabs>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maestro/a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cursos</w:t>
      </w:r>
      <w:r>
        <w:rPr>
          <w:rFonts w:ascii="Trebuchet MS" w:hAnsi="Trebuchet MS" w:cs="Trebuchet MS"/>
          <w:spacing w:val="-9"/>
          <w:kern w:val="1"/>
          <w:sz w:val="19"/>
          <w:szCs w:val="19"/>
          <w:lang w:val="es-ES"/>
        </w:rPr>
        <w:t xml:space="preserve"> </w:t>
      </w:r>
      <w:proofErr w:type="spellStart"/>
      <w:r>
        <w:rPr>
          <w:rFonts w:ascii="Trebuchet MS" w:hAnsi="Trebuchet MS" w:cs="Trebuchet MS"/>
          <w:kern w:val="1"/>
          <w:sz w:val="19"/>
          <w:szCs w:val="19"/>
          <w:lang w:val="es-ES"/>
        </w:rPr>
        <w:t>extraprogramáticos</w:t>
      </w:r>
      <w:proofErr w:type="spellEnd"/>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diferenciales,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sesenta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minutos</w:t>
      </w:r>
    </w:p>
    <w:p w14:paraId="4C042B0E" w14:textId="77777777" w:rsidR="00730838" w:rsidRDefault="00730838" w:rsidP="00730838">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$ 21.06</w:t>
      </w:r>
    </w:p>
    <w:p w14:paraId="56F49359" w14:textId="3A29B657" w:rsidR="00730838" w:rsidRDefault="00730838" w:rsidP="00730838">
      <w:pPr>
        <w:widowControl w:val="0"/>
        <w:tabs>
          <w:tab w:val="left" w:pos="8480"/>
        </w:tabs>
        <w:autoSpaceDE w:val="0"/>
        <w:autoSpaceDN w:val="0"/>
        <w:adjustRightInd w:val="0"/>
        <w:spacing w:before="52"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posea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 xml:space="preserve">habilitante </w:t>
      </w:r>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22.62</w:t>
      </w:r>
    </w:p>
    <w:p w14:paraId="7FC5A04F" w14:textId="77777777" w:rsidR="00730838" w:rsidRDefault="00730838" w:rsidP="00730838">
      <w:pPr>
        <w:widowControl w:val="0"/>
        <w:autoSpaceDE w:val="0"/>
        <w:autoSpaceDN w:val="0"/>
        <w:adjustRightInd w:val="0"/>
        <w:spacing w:before="6" w:after="0" w:line="240" w:lineRule="auto"/>
        <w:ind w:right="-1"/>
        <w:rPr>
          <w:rFonts w:ascii="Times New Roman" w:hAnsi="Times New Roman" w:cs="Times New Roman"/>
          <w:kern w:val="1"/>
          <w:sz w:val="23"/>
          <w:szCs w:val="23"/>
          <w:lang w:val="es-ES"/>
        </w:rPr>
      </w:pPr>
    </w:p>
    <w:p w14:paraId="5BA3F4E1" w14:textId="77777777" w:rsidR="00730838" w:rsidRDefault="00730838" w:rsidP="00730838">
      <w:pPr>
        <w:widowControl w:val="0"/>
        <w:tabs>
          <w:tab w:val="left" w:pos="373"/>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Cuando el personal a que se refiere el inciso b) cumpla sus tareas en tiempo mayor o menor que el previsto,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aumentará</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disminuirá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proporcionalmente.</w:t>
      </w:r>
    </w:p>
    <w:p w14:paraId="3BF63115" w14:textId="77777777" w:rsidR="00730838" w:rsidRDefault="00730838" w:rsidP="00730838">
      <w:pPr>
        <w:widowControl w:val="0"/>
        <w:autoSpaceDE w:val="0"/>
        <w:autoSpaceDN w:val="0"/>
        <w:adjustRightInd w:val="0"/>
        <w:spacing w:before="3" w:after="0" w:line="240" w:lineRule="auto"/>
        <w:ind w:right="-1"/>
        <w:rPr>
          <w:rFonts w:ascii="Times New Roman" w:hAnsi="Times New Roman" w:cs="Times New Roman"/>
          <w:kern w:val="1"/>
          <w:lang w:val="es-ES"/>
        </w:rPr>
      </w:pPr>
    </w:p>
    <w:p w14:paraId="6EC5C832" w14:textId="77777777" w:rsidR="00730838" w:rsidRDefault="00730838" w:rsidP="007308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 El Consejo Gremial de Enseñanza Privada será el órgano de interpretación de las disposiciones de la presente resolución.</w:t>
      </w:r>
    </w:p>
    <w:p w14:paraId="349E10A3" w14:textId="77777777" w:rsidR="00730838" w:rsidRDefault="00730838" w:rsidP="007308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EF11B67" w14:textId="77777777" w:rsidR="00730838" w:rsidRDefault="00730838" w:rsidP="007308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3º — En los casos regidos por más de una disposición; se aplicará la más favorable al personal.</w:t>
      </w:r>
    </w:p>
    <w:p w14:paraId="72B4FE41" w14:textId="77777777" w:rsidR="00730838" w:rsidRDefault="00730838" w:rsidP="0073083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48AFA87" w14:textId="77777777" w:rsidR="00730838" w:rsidRDefault="00730838" w:rsidP="007308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 Las remuneraciones previstas en los artículos precedentes podrán ser compensadas hasta su concurrencia con los montos que, cualquiera sea su naturaleza y denominación, los empleadores se encontrarán abonando a su personal docente con anterioridad a la entrada en vigencia de la presente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podrá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importar,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ningún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disminución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alguna en la retribución que los docentes perciben en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actualidad.</w:t>
      </w:r>
    </w:p>
    <w:p w14:paraId="02B9CAB7" w14:textId="77777777" w:rsidR="00730838" w:rsidRDefault="00730838" w:rsidP="0073083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CA26E67" w14:textId="77777777" w:rsidR="00730838" w:rsidRDefault="00730838" w:rsidP="0073083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 Desglosar la presente Resolución para su registro y archivo previa sustitución por copia autenticada en estos actuados remitiendo copia al Ministerio de Trabajo, a la Administración Nacional de la Seguridad Social, a la Dirección General Impositiva y a la Secretaría de Comercio Interior y por Circular a los Establecimientos interesados.</w:t>
      </w:r>
    </w:p>
    <w:p w14:paraId="6E72276E" w14:textId="77777777" w:rsidR="00730838" w:rsidRDefault="00730838" w:rsidP="0073083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0E243B7" w14:textId="77777777" w:rsidR="00730838" w:rsidRDefault="00730838" w:rsidP="0073083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6º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1B03AE97" w14:textId="77777777" w:rsidR="00730838" w:rsidRDefault="00730838" w:rsidP="00730838">
      <w:pPr>
        <w:widowControl w:val="0"/>
        <w:autoSpaceDE w:val="0"/>
        <w:autoSpaceDN w:val="0"/>
        <w:adjustRightInd w:val="0"/>
        <w:spacing w:before="1" w:after="0" w:line="240" w:lineRule="auto"/>
        <w:ind w:right="-1"/>
        <w:jc w:val="both"/>
        <w:rPr>
          <w:rFonts w:ascii="Trebuchet MS" w:hAnsi="Trebuchet MS" w:cs="Trebuchet MS"/>
          <w:kern w:val="1"/>
          <w:sz w:val="15"/>
          <w:szCs w:val="15"/>
          <w:lang w:val="es-ES"/>
        </w:rPr>
      </w:pPr>
    </w:p>
    <w:p w14:paraId="234C9262" w14:textId="77777777" w:rsidR="00730838" w:rsidRDefault="00730838" w:rsidP="00730838">
      <w:pPr>
        <w:widowControl w:val="0"/>
        <w:autoSpaceDE w:val="0"/>
        <w:autoSpaceDN w:val="0"/>
        <w:adjustRightInd w:val="0"/>
        <w:spacing w:before="1" w:after="0" w:line="240" w:lineRule="auto"/>
        <w:ind w:right="-1"/>
        <w:jc w:val="both"/>
        <w:rPr>
          <w:rFonts w:ascii="Trebuchet MS" w:hAnsi="Trebuchet MS" w:cs="Trebuchet MS"/>
          <w:kern w:val="1"/>
          <w:sz w:val="15"/>
          <w:szCs w:val="15"/>
          <w:lang w:val="es-ES"/>
        </w:rPr>
      </w:pPr>
      <w:proofErr w:type="spellStart"/>
      <w:r>
        <w:rPr>
          <w:rFonts w:ascii="Trebuchet MS" w:hAnsi="Trebuchet MS" w:cs="Trebuchet MS"/>
          <w:kern w:val="1"/>
          <w:sz w:val="15"/>
          <w:szCs w:val="15"/>
          <w:lang w:val="es-ES"/>
        </w:rPr>
        <w:t>Erica</w:t>
      </w:r>
      <w:proofErr w:type="spellEnd"/>
      <w:r>
        <w:rPr>
          <w:rFonts w:ascii="Trebuchet MS" w:hAnsi="Trebuchet MS" w:cs="Trebuchet MS"/>
          <w:kern w:val="1"/>
          <w:sz w:val="15"/>
          <w:szCs w:val="15"/>
          <w:lang w:val="es-ES"/>
        </w:rPr>
        <w:t xml:space="preserve"> V. </w:t>
      </w:r>
      <w:proofErr w:type="spellStart"/>
      <w:r>
        <w:rPr>
          <w:rFonts w:ascii="Trebuchet MS" w:hAnsi="Trebuchet MS" w:cs="Trebuchet MS"/>
          <w:kern w:val="1"/>
          <w:sz w:val="15"/>
          <w:szCs w:val="15"/>
          <w:lang w:val="es-ES"/>
        </w:rPr>
        <w:t>Covalschi</w:t>
      </w:r>
      <w:proofErr w:type="spellEnd"/>
      <w:r>
        <w:rPr>
          <w:rFonts w:ascii="Trebuchet MS" w:hAnsi="Trebuchet MS" w:cs="Trebuchet MS"/>
          <w:kern w:val="1"/>
          <w:sz w:val="15"/>
          <w:szCs w:val="15"/>
          <w:lang w:val="es-ES"/>
        </w:rPr>
        <w:t xml:space="preserve">. — Horacio Ferrari. — Alicia </w:t>
      </w:r>
      <w:proofErr w:type="spellStart"/>
      <w:r>
        <w:rPr>
          <w:rFonts w:ascii="Trebuchet MS" w:hAnsi="Trebuchet MS" w:cs="Trebuchet MS"/>
          <w:kern w:val="1"/>
          <w:sz w:val="15"/>
          <w:szCs w:val="15"/>
          <w:lang w:val="es-ES"/>
        </w:rPr>
        <w:t>Velich</w:t>
      </w:r>
      <w:proofErr w:type="spellEnd"/>
      <w:r>
        <w:rPr>
          <w:rFonts w:ascii="Trebuchet MS" w:hAnsi="Trebuchet MS" w:cs="Trebuchet MS"/>
          <w:kern w:val="1"/>
          <w:sz w:val="15"/>
          <w:szCs w:val="15"/>
          <w:lang w:val="es-ES"/>
        </w:rPr>
        <w:t xml:space="preserve">. — Pablo </w:t>
      </w:r>
      <w:proofErr w:type="spellStart"/>
      <w:r>
        <w:rPr>
          <w:rFonts w:ascii="Trebuchet MS" w:hAnsi="Trebuchet MS" w:cs="Trebuchet MS"/>
          <w:kern w:val="1"/>
          <w:sz w:val="15"/>
          <w:szCs w:val="15"/>
          <w:lang w:val="es-ES"/>
        </w:rPr>
        <w:t>Olocco</w:t>
      </w:r>
      <w:proofErr w:type="spellEnd"/>
      <w:r>
        <w:rPr>
          <w:rFonts w:ascii="Trebuchet MS" w:hAnsi="Trebuchet MS" w:cs="Trebuchet MS"/>
          <w:kern w:val="1"/>
          <w:sz w:val="15"/>
          <w:szCs w:val="15"/>
          <w:lang w:val="es-ES"/>
        </w:rPr>
        <w:t xml:space="preserve">. — Guillermo Marconi. — Elena O. de </w:t>
      </w:r>
      <w:proofErr w:type="spellStart"/>
      <w:r>
        <w:rPr>
          <w:rFonts w:ascii="Trebuchet MS" w:hAnsi="Trebuchet MS" w:cs="Trebuchet MS"/>
          <w:kern w:val="1"/>
          <w:sz w:val="15"/>
          <w:szCs w:val="15"/>
          <w:lang w:val="es-ES"/>
        </w:rPr>
        <w:t>Otaola</w:t>
      </w:r>
      <w:proofErr w:type="spellEnd"/>
      <w:r>
        <w:rPr>
          <w:rFonts w:ascii="Trebuchet MS" w:hAnsi="Trebuchet MS" w:cs="Trebuchet MS"/>
          <w:kern w:val="1"/>
          <w:sz w:val="15"/>
          <w:szCs w:val="15"/>
          <w:lang w:val="es-ES"/>
        </w:rPr>
        <w:t xml:space="preserve">. — Silvia </w:t>
      </w:r>
      <w:proofErr w:type="spellStart"/>
      <w:r>
        <w:rPr>
          <w:rFonts w:ascii="Trebuchet MS" w:hAnsi="Trebuchet MS" w:cs="Trebuchet MS"/>
          <w:kern w:val="1"/>
          <w:sz w:val="15"/>
          <w:szCs w:val="15"/>
          <w:lang w:val="es-ES"/>
        </w:rPr>
        <w:t>Squire</w:t>
      </w:r>
      <w:proofErr w:type="spellEnd"/>
      <w:r>
        <w:rPr>
          <w:rFonts w:ascii="Trebuchet MS" w:hAnsi="Trebuchet MS" w:cs="Trebuchet MS"/>
          <w:kern w:val="1"/>
          <w:sz w:val="15"/>
          <w:szCs w:val="15"/>
          <w:lang w:val="es-ES"/>
        </w:rPr>
        <w:t>. — Jorge Sánchez. — Domingo De Cara.</w:t>
      </w:r>
    </w:p>
    <w:p w14:paraId="4B987758" w14:textId="77777777" w:rsidR="00730838" w:rsidRDefault="00730838" w:rsidP="00730838">
      <w:pPr>
        <w:widowControl w:val="0"/>
        <w:autoSpaceDE w:val="0"/>
        <w:autoSpaceDN w:val="0"/>
        <w:adjustRightInd w:val="0"/>
        <w:spacing w:after="0" w:line="240" w:lineRule="auto"/>
        <w:ind w:right="-1"/>
        <w:rPr>
          <w:rFonts w:ascii="Times New Roman" w:hAnsi="Times New Roman" w:cs="Times New Roman"/>
          <w:kern w:val="1"/>
          <w:sz w:val="15"/>
          <w:szCs w:val="15"/>
          <w:lang w:val="es-ES"/>
        </w:rPr>
      </w:pPr>
    </w:p>
    <w:p w14:paraId="33273839" w14:textId="77777777" w:rsidR="00730838" w:rsidRDefault="00730838" w:rsidP="0073083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APROBADA EN SESION DE FECHA 05 ABR 2005.</w:t>
      </w:r>
    </w:p>
    <w:p w14:paraId="6CDB0543" w14:textId="39F7095A" w:rsidR="00592F1B" w:rsidRPr="00AC3BA6" w:rsidRDefault="00592F1B" w:rsidP="0073083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1"/>
  </w:num>
  <w:num w:numId="2">
    <w:abstractNumId w:val="10"/>
  </w:num>
  <w:num w:numId="3">
    <w:abstractNumId w:val="7"/>
  </w:num>
  <w:num w:numId="4">
    <w:abstractNumId w:val="8"/>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9"/>
  </w:num>
  <w:num w:numId="11">
    <w:abstractNumId w:val="6"/>
  </w:num>
  <w:num w:numId="12">
    <w:abstractNumId w:val="0"/>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30838"/>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730838"/>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730838"/>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730838"/>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730838"/>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3352</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2021-05-24T19:59:00Z</dcterms:created>
  <dcterms:modified xsi:type="dcterms:W3CDTF">2021-05-24T19:59:00Z</dcterms:modified>
</cp:coreProperties>
</file>