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C5F5B" w14:textId="77777777" w:rsidR="009B77DD" w:rsidRDefault="009B77DD" w:rsidP="009B77DD">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862E766" w14:textId="77777777" w:rsidR="009B77DD" w:rsidRDefault="009B77DD" w:rsidP="009B77DD">
      <w:pPr>
        <w:widowControl w:val="0"/>
        <w:autoSpaceDE w:val="0"/>
        <w:autoSpaceDN w:val="0"/>
        <w:adjustRightInd w:val="0"/>
        <w:spacing w:after="0" w:line="20" w:lineRule="exact"/>
        <w:ind w:right="-1"/>
        <w:rPr>
          <w:rFonts w:ascii="Times New Roman" w:hAnsi="Times New Roman" w:cs="Times New Roman"/>
          <w:sz w:val="2"/>
          <w:szCs w:val="2"/>
          <w:lang w:val="es-ES"/>
        </w:rPr>
      </w:pPr>
    </w:p>
    <w:p w14:paraId="2553F685" w14:textId="77777777" w:rsidR="009B77DD" w:rsidRDefault="009B77DD" w:rsidP="009B77D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EBFDADE" w14:textId="77777777" w:rsidR="009B77DD" w:rsidRDefault="009B77DD" w:rsidP="009B77DD">
      <w:pPr>
        <w:widowControl w:val="0"/>
        <w:autoSpaceDE w:val="0"/>
        <w:autoSpaceDN w:val="0"/>
        <w:adjustRightInd w:val="0"/>
        <w:spacing w:after="0" w:line="53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 xml:space="preserve">ACTUALIZACIÓN SUELDOS PERSONAL DOCENTE EXTRAPROGRAMÁTICO </w:t>
      </w:r>
    </w:p>
    <w:p w14:paraId="6669A9CF" w14:textId="113C361E" w:rsidR="009B77DD" w:rsidRDefault="009B77DD" w:rsidP="009B77DD">
      <w:pPr>
        <w:widowControl w:val="0"/>
        <w:autoSpaceDE w:val="0"/>
        <w:autoSpaceDN w:val="0"/>
        <w:adjustRightInd w:val="0"/>
        <w:spacing w:after="0" w:line="53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 PARTIR DEL 1° DE MARZO DE 2011</w:t>
      </w:r>
    </w:p>
    <w:p w14:paraId="4DF4CA9B" w14:textId="77777777" w:rsidR="009B77DD" w:rsidRDefault="009B77DD" w:rsidP="009B77DD">
      <w:pPr>
        <w:widowControl w:val="0"/>
        <w:autoSpaceDE w:val="0"/>
        <w:autoSpaceDN w:val="0"/>
        <w:adjustRightInd w:val="0"/>
        <w:spacing w:after="0" w:line="53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GREMIAL DE ENSEÑANZA PRIVADA </w:t>
      </w:r>
    </w:p>
    <w:p w14:paraId="7EA44E86" w14:textId="430D6E81" w:rsidR="009B77DD" w:rsidRDefault="009B77DD" w:rsidP="009B77DD">
      <w:pPr>
        <w:widowControl w:val="0"/>
        <w:autoSpaceDE w:val="0"/>
        <w:autoSpaceDN w:val="0"/>
        <w:adjustRightInd w:val="0"/>
        <w:spacing w:after="0" w:line="53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5/2006</w:t>
      </w:r>
    </w:p>
    <w:p w14:paraId="00657334" w14:textId="77777777" w:rsidR="009B77DD" w:rsidRDefault="009B77DD" w:rsidP="009B77DD">
      <w:pPr>
        <w:widowControl w:val="0"/>
        <w:autoSpaceDE w:val="0"/>
        <w:autoSpaceDN w:val="0"/>
        <w:adjustRightInd w:val="0"/>
        <w:spacing w:after="0" w:line="231"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ACLÁRASE LAS RESOLUCIONES NROS. 2/2006 Y 3/2006.</w:t>
      </w:r>
    </w:p>
    <w:p w14:paraId="4F014391" w14:textId="77777777" w:rsidR="009B77DD" w:rsidRDefault="009B77DD" w:rsidP="009B77DD">
      <w:pPr>
        <w:widowControl w:val="0"/>
        <w:autoSpaceDE w:val="0"/>
        <w:autoSpaceDN w:val="0"/>
        <w:adjustRightInd w:val="0"/>
        <w:spacing w:before="10" w:after="0" w:line="240" w:lineRule="auto"/>
        <w:ind w:right="-1"/>
        <w:rPr>
          <w:rFonts w:ascii="Times New Roman" w:hAnsi="Times New Roman" w:cs="Times New Roman"/>
          <w:b/>
          <w:bCs/>
          <w:sz w:val="23"/>
          <w:szCs w:val="23"/>
          <w:lang w:val="es-ES"/>
        </w:rPr>
      </w:pPr>
    </w:p>
    <w:p w14:paraId="7E89FBEC" w14:textId="77777777" w:rsidR="009B77DD" w:rsidRDefault="009B77DD" w:rsidP="009B77DD">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5/9/2006</w:t>
      </w:r>
    </w:p>
    <w:p w14:paraId="0E928AB1" w14:textId="77777777" w:rsidR="009B77DD" w:rsidRDefault="009B77DD" w:rsidP="009B77DD">
      <w:pPr>
        <w:widowControl w:val="0"/>
        <w:autoSpaceDE w:val="0"/>
        <w:autoSpaceDN w:val="0"/>
        <w:adjustRightInd w:val="0"/>
        <w:spacing w:before="6" w:after="0" w:line="240" w:lineRule="auto"/>
        <w:ind w:right="-1"/>
        <w:rPr>
          <w:rFonts w:ascii="Times New Roman" w:hAnsi="Times New Roman" w:cs="Times New Roman"/>
          <w:sz w:val="15"/>
          <w:szCs w:val="15"/>
          <w:lang w:val="es-ES"/>
        </w:rPr>
      </w:pPr>
    </w:p>
    <w:p w14:paraId="26DF68D1" w14:textId="77777777" w:rsidR="009B77DD" w:rsidRDefault="009B77DD" w:rsidP="009B77DD">
      <w:pPr>
        <w:widowControl w:val="0"/>
        <w:autoSpaceDE w:val="0"/>
        <w:autoSpaceDN w:val="0"/>
        <w:adjustRightInd w:val="0"/>
        <w:spacing w:before="10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63C4DC76" w14:textId="77777777" w:rsidR="009B77DD" w:rsidRDefault="009B77DD" w:rsidP="009B77DD">
      <w:pPr>
        <w:widowControl w:val="0"/>
        <w:autoSpaceDE w:val="0"/>
        <w:autoSpaceDN w:val="0"/>
        <w:adjustRightInd w:val="0"/>
        <w:spacing w:before="2" w:after="0" w:line="240" w:lineRule="auto"/>
        <w:ind w:right="-1"/>
        <w:rPr>
          <w:rFonts w:ascii="Times New Roman" w:hAnsi="Times New Roman" w:cs="Times New Roman"/>
          <w:b/>
          <w:bCs/>
          <w:sz w:val="24"/>
          <w:szCs w:val="24"/>
          <w:lang w:val="es-ES"/>
        </w:rPr>
      </w:pPr>
    </w:p>
    <w:p w14:paraId="124A8019" w14:textId="77777777" w:rsidR="009B77DD" w:rsidRDefault="009B77DD" w:rsidP="009B77DD">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Las facultades otorgadas por los artículo 18 inciso b) y 31 inciso 2) de la Ley 13.047 al Consejo Gremial de Enseñanza Privada, y;</w:t>
      </w:r>
    </w:p>
    <w:p w14:paraId="4F2101C5" w14:textId="77777777" w:rsidR="009B77DD" w:rsidRDefault="009B77DD" w:rsidP="009B77DD">
      <w:pPr>
        <w:widowControl w:val="0"/>
        <w:autoSpaceDE w:val="0"/>
        <w:autoSpaceDN w:val="0"/>
        <w:adjustRightInd w:val="0"/>
        <w:spacing w:after="0" w:line="240" w:lineRule="auto"/>
        <w:ind w:right="-1"/>
        <w:rPr>
          <w:rFonts w:ascii="Times New Roman" w:hAnsi="Times New Roman" w:cs="Times New Roman"/>
          <w:sz w:val="24"/>
          <w:szCs w:val="24"/>
          <w:lang w:val="es-ES"/>
        </w:rPr>
      </w:pPr>
    </w:p>
    <w:p w14:paraId="5CB2498E" w14:textId="77777777" w:rsidR="009B77DD" w:rsidRDefault="009B77DD" w:rsidP="009B77DD">
      <w:pPr>
        <w:widowControl w:val="0"/>
        <w:autoSpaceDE w:val="0"/>
        <w:autoSpaceDN w:val="0"/>
        <w:adjustRightInd w:val="0"/>
        <w:spacing w:before="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5552EAA" w14:textId="77777777" w:rsidR="009B77DD" w:rsidRDefault="009B77DD" w:rsidP="009B77DD">
      <w:pPr>
        <w:widowControl w:val="0"/>
        <w:autoSpaceDE w:val="0"/>
        <w:autoSpaceDN w:val="0"/>
        <w:adjustRightInd w:val="0"/>
        <w:spacing w:after="0" w:line="240" w:lineRule="auto"/>
        <w:ind w:right="-1"/>
        <w:rPr>
          <w:rFonts w:ascii="Times New Roman" w:hAnsi="Times New Roman" w:cs="Times New Roman"/>
          <w:b/>
          <w:bCs/>
          <w:sz w:val="24"/>
          <w:szCs w:val="24"/>
          <w:lang w:val="es-ES"/>
        </w:rPr>
      </w:pPr>
    </w:p>
    <w:p w14:paraId="66497544" w14:textId="77777777" w:rsidR="009B77DD" w:rsidRDefault="009B77DD" w:rsidP="009B77DD">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se hace necesario rectificar el error material detectado en las Resoluciones Nº 02/06 y 03/06 de este Cuerpo Colegiado luego de su publicación en el Boletín Oficial Nº 30.930 del Miércoles 21 de junio del corriente año, en el cual se hubo omitido en el primer considerando de ambas Resoluciones la palabra "no" en la frase "del personal docente incluido en las plantas orgánico funcionales";</w:t>
      </w:r>
    </w:p>
    <w:p w14:paraId="2B24B175" w14:textId="77777777" w:rsidR="009B77DD" w:rsidRDefault="009B77DD" w:rsidP="009B77DD">
      <w:pPr>
        <w:widowControl w:val="0"/>
        <w:autoSpaceDE w:val="0"/>
        <w:autoSpaceDN w:val="0"/>
        <w:adjustRightInd w:val="0"/>
        <w:spacing w:before="1" w:after="0" w:line="240" w:lineRule="auto"/>
        <w:ind w:right="-1"/>
        <w:rPr>
          <w:rFonts w:ascii="Times New Roman" w:hAnsi="Times New Roman" w:cs="Times New Roman"/>
          <w:sz w:val="24"/>
          <w:szCs w:val="24"/>
          <w:lang w:val="es-ES"/>
        </w:rPr>
      </w:pPr>
    </w:p>
    <w:p w14:paraId="39B8A3BB" w14:textId="77777777" w:rsidR="009B77DD" w:rsidRDefault="009B77DD" w:rsidP="009B77DD">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del mismo modo se hubo advertido en el inciso b) del Artículo 1º de la Resolución 03/06 la omisión de la palabra "no" en la frase "cuando posea título habilitante".</w:t>
      </w:r>
    </w:p>
    <w:p w14:paraId="7B6E08AF" w14:textId="77777777" w:rsidR="009B77DD" w:rsidRDefault="009B77DD" w:rsidP="009B77DD">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475013EA" w14:textId="77777777" w:rsidR="009B77DD" w:rsidRDefault="009B77DD" w:rsidP="009B77DD">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Que, por sesión de fecha 18 de julio de 2006, se aprobó por mayoría el dictado del presente acto administrativo.</w:t>
      </w:r>
    </w:p>
    <w:p w14:paraId="6618D90A" w14:textId="77777777" w:rsidR="009B77DD" w:rsidRDefault="009B77DD" w:rsidP="009B77DD">
      <w:pPr>
        <w:widowControl w:val="0"/>
        <w:autoSpaceDE w:val="0"/>
        <w:autoSpaceDN w:val="0"/>
        <w:adjustRightInd w:val="0"/>
        <w:spacing w:before="1" w:after="0" w:line="240" w:lineRule="auto"/>
        <w:ind w:right="-1"/>
        <w:rPr>
          <w:rFonts w:ascii="Times New Roman" w:hAnsi="Times New Roman" w:cs="Times New Roman"/>
          <w:sz w:val="24"/>
          <w:szCs w:val="24"/>
          <w:lang w:val="es-ES"/>
        </w:rPr>
      </w:pPr>
    </w:p>
    <w:p w14:paraId="624B3716" w14:textId="77777777" w:rsidR="009B77DD" w:rsidRDefault="009B77DD" w:rsidP="009B77DD">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Por ello, en uso de facultades propias</w:t>
      </w:r>
    </w:p>
    <w:p w14:paraId="7A8D3AC1" w14:textId="77777777" w:rsidR="009B77DD" w:rsidRDefault="009B77DD" w:rsidP="009B77DD">
      <w:pPr>
        <w:widowControl w:val="0"/>
        <w:autoSpaceDE w:val="0"/>
        <w:autoSpaceDN w:val="0"/>
        <w:adjustRightInd w:val="0"/>
        <w:spacing w:before="1" w:after="0" w:line="240" w:lineRule="auto"/>
        <w:ind w:right="-1"/>
        <w:rPr>
          <w:rFonts w:ascii="Times New Roman" w:hAnsi="Times New Roman" w:cs="Times New Roman"/>
          <w:sz w:val="24"/>
          <w:szCs w:val="24"/>
          <w:lang w:val="es-ES"/>
        </w:rPr>
      </w:pPr>
    </w:p>
    <w:p w14:paraId="1713F04F" w14:textId="77777777" w:rsidR="009B77DD" w:rsidRDefault="009B77DD" w:rsidP="009B77DD">
      <w:pPr>
        <w:widowControl w:val="0"/>
        <w:autoSpaceDE w:val="0"/>
        <w:autoSpaceDN w:val="0"/>
        <w:adjustRightInd w:val="0"/>
        <w:spacing w:after="0" w:line="53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 CONSEJO GREMIAL DE ENSEÑANZA PRIVADA REUNIDO EN SESIÓN ORDINARIA</w:t>
      </w:r>
    </w:p>
    <w:p w14:paraId="72F6B347" w14:textId="77777777" w:rsidR="009B77DD" w:rsidRDefault="009B77DD" w:rsidP="009B77DD">
      <w:pPr>
        <w:widowControl w:val="0"/>
        <w:autoSpaceDE w:val="0"/>
        <w:autoSpaceDN w:val="0"/>
        <w:adjustRightInd w:val="0"/>
        <w:spacing w:after="0" w:line="231"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RESUELVE:</w:t>
      </w:r>
    </w:p>
    <w:p w14:paraId="7D48ADEA" w14:textId="77777777" w:rsidR="009B77DD" w:rsidRDefault="009B77DD" w:rsidP="009B77DD">
      <w:pPr>
        <w:widowControl w:val="0"/>
        <w:autoSpaceDE w:val="0"/>
        <w:autoSpaceDN w:val="0"/>
        <w:adjustRightInd w:val="0"/>
        <w:spacing w:before="1" w:after="0" w:line="240" w:lineRule="auto"/>
        <w:ind w:right="-1"/>
        <w:rPr>
          <w:rFonts w:ascii="Times New Roman" w:hAnsi="Times New Roman" w:cs="Times New Roman"/>
          <w:b/>
          <w:bCs/>
          <w:sz w:val="24"/>
          <w:szCs w:val="24"/>
          <w:lang w:val="es-ES"/>
        </w:rPr>
      </w:pPr>
    </w:p>
    <w:p w14:paraId="6844E56A" w14:textId="77777777" w:rsidR="009B77DD" w:rsidRDefault="009B77DD" w:rsidP="009B77DD">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Artículo 1º — Aclarar que, en el 1º considerando de las Resoluciones Nº 02/06 y 03/06 donde dice: "del personal docente incluido en las plantas orgánico funcionales", debió decir: "del personal docente no incluido en las plantas orgánico funcionales".</w:t>
      </w:r>
    </w:p>
    <w:p w14:paraId="3621F3A4" w14:textId="77777777" w:rsidR="009B77DD" w:rsidRDefault="009B77DD" w:rsidP="009B77DD">
      <w:pPr>
        <w:widowControl w:val="0"/>
        <w:autoSpaceDE w:val="0"/>
        <w:autoSpaceDN w:val="0"/>
        <w:adjustRightInd w:val="0"/>
        <w:spacing w:before="1" w:after="0" w:line="240" w:lineRule="auto"/>
        <w:ind w:right="-1"/>
        <w:rPr>
          <w:rFonts w:ascii="Times New Roman" w:hAnsi="Times New Roman" w:cs="Times New Roman"/>
          <w:sz w:val="24"/>
          <w:szCs w:val="24"/>
          <w:lang w:val="es-ES"/>
        </w:rPr>
      </w:pPr>
    </w:p>
    <w:p w14:paraId="4F8CB624" w14:textId="77777777" w:rsidR="009B77DD" w:rsidRDefault="009B77DD" w:rsidP="009B77DD">
      <w:pPr>
        <w:widowControl w:val="0"/>
        <w:tabs>
          <w:tab w:val="left" w:pos="4599"/>
        </w:tabs>
        <w:autoSpaceDE w:val="0"/>
        <w:autoSpaceDN w:val="0"/>
        <w:adjustRightInd w:val="0"/>
        <w:spacing w:after="0" w:line="590" w:lineRule="auto"/>
        <w:ind w:right="-1"/>
        <w:rPr>
          <w:rFonts w:ascii="Trebuchet MS" w:hAnsi="Trebuchet MS" w:cs="Trebuchet MS"/>
          <w:kern w:val="1"/>
          <w:sz w:val="20"/>
          <w:szCs w:val="20"/>
          <w:lang w:val="es-ES"/>
        </w:rPr>
      </w:pPr>
      <w:r>
        <w:rPr>
          <w:rFonts w:ascii="Trebuchet MS" w:hAnsi="Trebuchet MS" w:cs="Trebuchet MS"/>
          <w:sz w:val="20"/>
          <w:szCs w:val="20"/>
          <w:lang w:val="es-ES"/>
        </w:rPr>
        <w:t>Artículo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2º</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Aclara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inciso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b)</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Art.</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1</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Resolución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Nº</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03/06</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donde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dice: "cuando posea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kern w:val="1"/>
          <w:sz w:val="20"/>
          <w:szCs w:val="20"/>
          <w:lang w:val="es-ES"/>
        </w:rPr>
        <w:tab/>
        <w:t>$</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751,84"</w:t>
      </w:r>
    </w:p>
    <w:p w14:paraId="64345B91" w14:textId="77777777" w:rsidR="009B77DD" w:rsidRDefault="009B77DD" w:rsidP="009B77DD">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Debió decir:</w:t>
      </w:r>
    </w:p>
    <w:p w14:paraId="47A9B75F" w14:textId="77777777" w:rsidR="009B77DD" w:rsidRDefault="009B77DD" w:rsidP="009B77DD">
      <w:pPr>
        <w:widowControl w:val="0"/>
        <w:autoSpaceDE w:val="0"/>
        <w:autoSpaceDN w:val="0"/>
        <w:adjustRightInd w:val="0"/>
        <w:spacing w:before="2" w:after="0" w:line="240" w:lineRule="auto"/>
        <w:ind w:right="-1"/>
        <w:rPr>
          <w:rFonts w:ascii="Times New Roman" w:hAnsi="Times New Roman" w:cs="Times New Roman"/>
          <w:b/>
          <w:bCs/>
          <w:kern w:val="1"/>
          <w:sz w:val="29"/>
          <w:szCs w:val="29"/>
          <w:lang w:val="es-ES"/>
        </w:rPr>
      </w:pPr>
    </w:p>
    <w:p w14:paraId="54EC8E5A" w14:textId="77777777" w:rsidR="009B77DD" w:rsidRDefault="009B77DD" w:rsidP="009B77DD">
      <w:pPr>
        <w:widowControl w:val="0"/>
        <w:tabs>
          <w:tab w:val="left" w:pos="4599"/>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"Cuando no posea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título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habilitante</w:t>
      </w:r>
      <w:r>
        <w:rPr>
          <w:rFonts w:ascii="Trebuchet MS" w:hAnsi="Trebuchet MS" w:cs="Trebuchet MS"/>
          <w:kern w:val="1"/>
          <w:sz w:val="20"/>
          <w:szCs w:val="20"/>
          <w:lang w:val="es-ES"/>
        </w:rPr>
        <w:tab/>
        <w:t>$</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751,84"</w:t>
      </w:r>
    </w:p>
    <w:p w14:paraId="121E008B" w14:textId="77777777" w:rsidR="009B77DD" w:rsidRDefault="009B77DD" w:rsidP="009B77DD">
      <w:pPr>
        <w:widowControl w:val="0"/>
        <w:autoSpaceDE w:val="0"/>
        <w:autoSpaceDN w:val="0"/>
        <w:adjustRightInd w:val="0"/>
        <w:spacing w:before="90" w:after="0" w:line="240" w:lineRule="auto"/>
        <w:ind w:right="-1"/>
        <w:rPr>
          <w:rFonts w:ascii="Times New Roman" w:hAnsi="Times New Roman" w:cs="Times New Roman"/>
          <w:kern w:val="1"/>
          <w:sz w:val="20"/>
          <w:szCs w:val="20"/>
          <w:lang w:val="es-ES"/>
        </w:rPr>
      </w:pPr>
    </w:p>
    <w:p w14:paraId="240792EA" w14:textId="77777777" w:rsidR="009B77DD" w:rsidRDefault="009B77DD" w:rsidP="009B77DD">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9BDA3F" w14:textId="77777777" w:rsidR="009B77DD" w:rsidRDefault="009B77DD" w:rsidP="009B77DD">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Artículo 3</w:t>
      </w:r>
      <w:r>
        <w:rPr>
          <w:rFonts w:ascii="Trebuchet MS" w:hAnsi="Trebuchet MS" w:cs="Trebuchet MS"/>
          <w:b/>
          <w:bCs/>
          <w:kern w:val="1"/>
          <w:sz w:val="20"/>
          <w:szCs w:val="20"/>
          <w:lang w:val="es-ES"/>
        </w:rPr>
        <w:t xml:space="preserve">º </w:t>
      </w:r>
      <w:r>
        <w:rPr>
          <w:rFonts w:ascii="Trebuchet MS" w:hAnsi="Trebuchet MS" w:cs="Trebuchet MS"/>
          <w:kern w:val="1"/>
          <w:sz w:val="20"/>
          <w:szCs w:val="20"/>
          <w:lang w:val="es-ES"/>
        </w:rPr>
        <w:t>— Registrar la presente Resolución remitiendo copia al Ministerio de Trabajo, a la Administración Nacional de la Seguridad Social, a la Administración Federal de Ingresos Públicos y a la Secretaría de Comercio Interior.</w:t>
      </w:r>
    </w:p>
    <w:p w14:paraId="6310886A" w14:textId="77777777" w:rsidR="009B77DD" w:rsidRDefault="009B77DD" w:rsidP="009B77DD">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0C4E2912" w14:textId="77777777" w:rsidR="009B77DD" w:rsidRDefault="009B77DD" w:rsidP="009B77DD">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4º — Comuníquese, publíquese,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w:t>
      </w:r>
      <w:proofErr w:type="spellStart"/>
      <w:r>
        <w:rPr>
          <w:rFonts w:ascii="Trebuchet MS" w:hAnsi="Trebuchet MS" w:cs="Trebuchet MS"/>
          <w:kern w:val="1"/>
          <w:sz w:val="20"/>
          <w:szCs w:val="20"/>
          <w:lang w:val="es-ES"/>
        </w:rPr>
        <w:t>Erica</w:t>
      </w:r>
      <w:proofErr w:type="spellEnd"/>
    </w:p>
    <w:p w14:paraId="2D8A53DC" w14:textId="77777777" w:rsidR="009B77DD" w:rsidRDefault="009B77DD" w:rsidP="009B77DD">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V. </w:t>
      </w:r>
      <w:proofErr w:type="spellStart"/>
      <w:r>
        <w:rPr>
          <w:rFonts w:ascii="Trebuchet MS" w:hAnsi="Trebuchet MS" w:cs="Trebuchet MS"/>
          <w:kern w:val="1"/>
          <w:sz w:val="20"/>
          <w:szCs w:val="20"/>
          <w:lang w:val="es-ES"/>
        </w:rPr>
        <w:t>Covalschi</w:t>
      </w:r>
      <w:proofErr w:type="spellEnd"/>
      <w:r>
        <w:rPr>
          <w:rFonts w:ascii="Trebuchet MS" w:hAnsi="Trebuchet MS" w:cs="Trebuchet MS"/>
          <w:kern w:val="1"/>
          <w:sz w:val="20"/>
          <w:szCs w:val="20"/>
          <w:lang w:val="es-ES"/>
        </w:rPr>
        <w:t xml:space="preserve">. — Horacio Ferrari. — Pablo </w:t>
      </w:r>
      <w:proofErr w:type="spellStart"/>
      <w:r>
        <w:rPr>
          <w:rFonts w:ascii="Trebuchet MS" w:hAnsi="Trebuchet MS" w:cs="Trebuchet MS"/>
          <w:kern w:val="1"/>
          <w:sz w:val="20"/>
          <w:szCs w:val="20"/>
          <w:lang w:val="es-ES"/>
        </w:rPr>
        <w:t>Olocco</w:t>
      </w:r>
      <w:proofErr w:type="spellEnd"/>
      <w:r>
        <w:rPr>
          <w:rFonts w:ascii="Trebuchet MS" w:hAnsi="Trebuchet MS" w:cs="Trebuchet MS"/>
          <w:kern w:val="1"/>
          <w:sz w:val="20"/>
          <w:szCs w:val="20"/>
          <w:lang w:val="es-ES"/>
        </w:rPr>
        <w:t xml:space="preserve">. — Alicia </w:t>
      </w:r>
      <w:proofErr w:type="spellStart"/>
      <w:r>
        <w:rPr>
          <w:rFonts w:ascii="Trebuchet MS" w:hAnsi="Trebuchet MS" w:cs="Trebuchet MS"/>
          <w:kern w:val="1"/>
          <w:sz w:val="20"/>
          <w:szCs w:val="20"/>
          <w:lang w:val="es-ES"/>
        </w:rPr>
        <w:t>Velich</w:t>
      </w:r>
      <w:proofErr w:type="spellEnd"/>
      <w:r>
        <w:rPr>
          <w:rFonts w:ascii="Trebuchet MS" w:hAnsi="Trebuchet MS" w:cs="Trebuchet MS"/>
          <w:kern w:val="1"/>
          <w:sz w:val="20"/>
          <w:szCs w:val="20"/>
          <w:lang w:val="es-ES"/>
        </w:rPr>
        <w:t xml:space="preserve">. — Jorge Sánchez. — Mario Almirón. — Domingo De Garra. — Horacio </w:t>
      </w:r>
      <w:proofErr w:type="spellStart"/>
      <w:r>
        <w:rPr>
          <w:rFonts w:ascii="Trebuchet MS" w:hAnsi="Trebuchet MS" w:cs="Trebuchet MS"/>
          <w:kern w:val="1"/>
          <w:sz w:val="20"/>
          <w:szCs w:val="20"/>
          <w:lang w:val="es-ES"/>
        </w:rPr>
        <w:t>Ghilini</w:t>
      </w:r>
      <w:proofErr w:type="spellEnd"/>
      <w:r>
        <w:rPr>
          <w:rFonts w:ascii="Trebuchet MS" w:hAnsi="Trebuchet MS" w:cs="Trebuchet MS"/>
          <w:kern w:val="1"/>
          <w:sz w:val="20"/>
          <w:szCs w:val="20"/>
          <w:lang w:val="es-ES"/>
        </w:rPr>
        <w:t>. — Guillermo Marconi. Aprobada en Sesión de Fecha 18 julio del 2006.</w:t>
      </w:r>
    </w:p>
    <w:p w14:paraId="6CDB0543" w14:textId="39F7095A" w:rsidR="00592F1B" w:rsidRPr="00AC3BA6" w:rsidRDefault="00592F1B" w:rsidP="009B77D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B77DD"/>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1848</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2021-05-24T20:02:00Z</dcterms:created>
  <dcterms:modified xsi:type="dcterms:W3CDTF">2021-05-24T20:02:00Z</dcterms:modified>
</cp:coreProperties>
</file>