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DEC67" w14:textId="77777777" w:rsidR="002D6CE5" w:rsidRDefault="002D6CE5" w:rsidP="002D6CE5">
      <w:pPr>
        <w:rPr>
          <w:rFonts w:ascii="Trebuchet MS" w:hAnsi="Trebuchet MS" w:cs="Arial"/>
        </w:rPr>
      </w:pPr>
    </w:p>
    <w:p w14:paraId="017D0446" w14:textId="77777777" w:rsidR="002D6CE5" w:rsidRDefault="002D6CE5" w:rsidP="002D6CE5">
      <w:pPr>
        <w:jc w:val="center"/>
        <w:rPr>
          <w:rFonts w:ascii="Trebuchet MS" w:hAnsi="Trebuchet MS"/>
          <w:b/>
        </w:rPr>
      </w:pPr>
      <w:bookmarkStart w:id="0" w:name="_GoBack"/>
      <w:bookmarkEnd w:id="0"/>
      <w:r>
        <w:rPr>
          <w:rFonts w:ascii="Trebuchet MS" w:hAnsi="Trebuchet MS"/>
          <w:b/>
        </w:rPr>
        <w:t>LICENCIA POR MAYOR JERARQUÍA PRESUPUESTARIA</w:t>
      </w:r>
    </w:p>
    <w:p w14:paraId="3419983E" w14:textId="77777777" w:rsidR="002D6CE5" w:rsidRDefault="002D6CE5" w:rsidP="002D6CE5">
      <w:pPr>
        <w:jc w:val="center"/>
        <w:rPr>
          <w:rFonts w:ascii="Trebuchet MS" w:hAnsi="Trebuchet MS"/>
          <w:b/>
        </w:rPr>
      </w:pPr>
    </w:p>
    <w:p w14:paraId="54F25FCF" w14:textId="77777777" w:rsidR="002D6CE5" w:rsidRDefault="002D6CE5" w:rsidP="002D6CE5">
      <w:pPr>
        <w:jc w:val="center"/>
        <w:rPr>
          <w:rFonts w:ascii="Trebuchet MS" w:hAnsi="Trebuchet MS"/>
          <w:b/>
        </w:rPr>
      </w:pPr>
      <w:r>
        <w:rPr>
          <w:rFonts w:ascii="Trebuchet MS" w:hAnsi="Trebuchet MS"/>
          <w:b/>
        </w:rPr>
        <w:t>CONSEJO GREMIAL DE ENSEÑANZA PRIVADA</w:t>
      </w:r>
    </w:p>
    <w:p w14:paraId="71527302" w14:textId="77777777" w:rsidR="002D6CE5" w:rsidRDefault="002D6CE5" w:rsidP="002D6CE5">
      <w:pPr>
        <w:jc w:val="center"/>
        <w:rPr>
          <w:rFonts w:ascii="Trebuchet MS" w:hAnsi="Trebuchet MS"/>
          <w:b/>
        </w:rPr>
      </w:pPr>
    </w:p>
    <w:p w14:paraId="0312FDFB" w14:textId="77777777" w:rsidR="002D6CE5" w:rsidRDefault="002D6CE5" w:rsidP="002D6CE5">
      <w:pPr>
        <w:jc w:val="center"/>
        <w:rPr>
          <w:rFonts w:ascii="Trebuchet MS" w:hAnsi="Trebuchet MS"/>
          <w:b/>
        </w:rPr>
      </w:pPr>
      <w:r>
        <w:rPr>
          <w:rFonts w:ascii="Trebuchet MS" w:hAnsi="Trebuchet MS"/>
          <w:b/>
        </w:rPr>
        <w:t>RESOLUCIÓN Nº 504 / 89</w:t>
      </w:r>
    </w:p>
    <w:p w14:paraId="0AA6292E" w14:textId="77777777" w:rsidR="002D6CE5" w:rsidRDefault="002D6CE5" w:rsidP="002D6CE5">
      <w:pPr>
        <w:jc w:val="center"/>
        <w:rPr>
          <w:rFonts w:ascii="Trebuchet MS" w:hAnsi="Trebuchet MS"/>
          <w:b/>
        </w:rPr>
      </w:pPr>
    </w:p>
    <w:p w14:paraId="23867686" w14:textId="77777777" w:rsidR="002D6CE5" w:rsidRDefault="002D6CE5" w:rsidP="002D6CE5">
      <w:pPr>
        <w:jc w:val="center"/>
        <w:rPr>
          <w:rFonts w:ascii="Trebuchet MS" w:hAnsi="Trebuchet MS"/>
        </w:rPr>
      </w:pPr>
    </w:p>
    <w:p w14:paraId="787DAE9C" w14:textId="77777777" w:rsidR="002D6CE5" w:rsidRDefault="002D6CE5" w:rsidP="002D6CE5">
      <w:pPr>
        <w:jc w:val="both"/>
        <w:rPr>
          <w:rFonts w:ascii="Trebuchet MS" w:hAnsi="Trebuchet MS"/>
          <w:b/>
        </w:rPr>
      </w:pPr>
      <w:r>
        <w:rPr>
          <w:rFonts w:ascii="Trebuchet MS" w:hAnsi="Trebuchet MS"/>
          <w:b/>
        </w:rPr>
        <w:t>VISTO:</w:t>
      </w:r>
    </w:p>
    <w:p w14:paraId="08A0939E" w14:textId="77777777" w:rsidR="002D6CE5" w:rsidRDefault="002D6CE5" w:rsidP="002D6CE5">
      <w:pPr>
        <w:jc w:val="both"/>
        <w:rPr>
          <w:rFonts w:ascii="Trebuchet MS" w:hAnsi="Trebuchet MS"/>
        </w:rPr>
      </w:pPr>
    </w:p>
    <w:p w14:paraId="134BD6B7" w14:textId="77777777" w:rsidR="002D6CE5" w:rsidRDefault="002D6CE5" w:rsidP="002D6CE5">
      <w:pPr>
        <w:ind w:firstLine="709"/>
        <w:jc w:val="both"/>
        <w:rPr>
          <w:rFonts w:ascii="Trebuchet MS" w:hAnsi="Trebuchet MS"/>
        </w:rPr>
      </w:pPr>
      <w:r>
        <w:rPr>
          <w:rFonts w:ascii="Trebuchet MS" w:hAnsi="Trebuchet MS"/>
        </w:rPr>
        <w:t>Las numerosas consultas formuladas a este Consejo Gremial de Enseñanza Privada, por representantes legales de institutos incorporados a la enseñanza oficial y por docentes de los mismos, solicitando coincidentemente que se practique el encuadre legal de los pedidos de licencia que, por ejercicio de cargo de mayor jerarquía remunerativa, se han elevado y se elevan constantemente en jurisdicción de dichos establecimientos, y,</w:t>
      </w:r>
    </w:p>
    <w:p w14:paraId="5F78D470" w14:textId="77777777" w:rsidR="002D6CE5" w:rsidRDefault="002D6CE5" w:rsidP="002D6CE5">
      <w:pPr>
        <w:ind w:firstLine="709"/>
        <w:jc w:val="both"/>
        <w:rPr>
          <w:rFonts w:ascii="Trebuchet MS" w:hAnsi="Trebuchet MS"/>
        </w:rPr>
      </w:pPr>
    </w:p>
    <w:p w14:paraId="397AC21A" w14:textId="77777777" w:rsidR="002D6CE5" w:rsidRDefault="002D6CE5" w:rsidP="002D6CE5">
      <w:pPr>
        <w:rPr>
          <w:rFonts w:ascii="Trebuchet MS" w:hAnsi="Trebuchet MS"/>
        </w:rPr>
      </w:pPr>
    </w:p>
    <w:p w14:paraId="35752B20" w14:textId="77777777" w:rsidR="002D6CE5" w:rsidRDefault="002D6CE5" w:rsidP="002D6CE5">
      <w:pPr>
        <w:jc w:val="both"/>
        <w:rPr>
          <w:rFonts w:ascii="Trebuchet MS" w:hAnsi="Trebuchet MS"/>
          <w:b/>
        </w:rPr>
      </w:pPr>
      <w:r>
        <w:rPr>
          <w:rFonts w:ascii="Trebuchet MS" w:hAnsi="Trebuchet MS"/>
          <w:b/>
        </w:rPr>
        <w:t>CONSIDERANDO:</w:t>
      </w:r>
    </w:p>
    <w:p w14:paraId="6B042FA2" w14:textId="77777777" w:rsidR="002D6CE5" w:rsidRDefault="002D6CE5" w:rsidP="002D6CE5">
      <w:pPr>
        <w:rPr>
          <w:rFonts w:ascii="Trebuchet MS" w:hAnsi="Trebuchet MS"/>
        </w:rPr>
      </w:pPr>
    </w:p>
    <w:p w14:paraId="1AA43EDC" w14:textId="77777777" w:rsidR="002D6CE5" w:rsidRDefault="002D6CE5" w:rsidP="002D6CE5">
      <w:pPr>
        <w:ind w:firstLine="709"/>
        <w:jc w:val="both"/>
        <w:rPr>
          <w:rFonts w:ascii="Trebuchet MS" w:hAnsi="Trebuchet MS"/>
        </w:rPr>
      </w:pPr>
      <w:r>
        <w:rPr>
          <w:rFonts w:ascii="Trebuchet MS" w:hAnsi="Trebuchet MS"/>
        </w:rPr>
        <w:t>Que los pedidos interpretan que sería de aplicación a los mismos lo dispuesto por el Art. 13º, apartado II, Inc. e), del Decreto Nº 3413/79 (Régimen de Licencias, Justificaciones y Franquicias), que otorga licencia por tiempo indeterminado, para pasar a desempeñarse con situación de revista inestable en un cargo dependiente de la misma o de otra jurisdicción, aunque sean de idéntica denominación, jerarquía y función, con tal que el docente perciba en su nuevo destino, mayor remuneración al momento de interponerlos, amparándose en lo que establece la citada normativa cuando dice, en su último párrafo: “... cuando el orden jerárquico no pueda determinarse deberá tratarse de un puesto de mayor remuneración.”</w:t>
      </w:r>
    </w:p>
    <w:p w14:paraId="2A0C2BB4" w14:textId="77777777" w:rsidR="002D6CE5" w:rsidRDefault="002D6CE5" w:rsidP="002D6CE5">
      <w:pPr>
        <w:ind w:firstLine="709"/>
        <w:jc w:val="both"/>
        <w:rPr>
          <w:rFonts w:ascii="Trebuchet MS" w:hAnsi="Trebuchet MS"/>
        </w:rPr>
      </w:pPr>
      <w:r>
        <w:rPr>
          <w:rFonts w:ascii="Trebuchet MS" w:hAnsi="Trebuchet MS"/>
        </w:rPr>
        <w:tab/>
      </w:r>
    </w:p>
    <w:p w14:paraId="2FF5718E" w14:textId="77777777" w:rsidR="002D6CE5" w:rsidRDefault="002D6CE5" w:rsidP="002D6CE5">
      <w:pPr>
        <w:ind w:firstLine="709"/>
        <w:jc w:val="both"/>
        <w:rPr>
          <w:rFonts w:ascii="Trebuchet MS" w:hAnsi="Trebuchet MS"/>
        </w:rPr>
      </w:pPr>
      <w:proofErr w:type="gramStart"/>
      <w:r>
        <w:rPr>
          <w:rFonts w:ascii="Trebuchet MS" w:hAnsi="Trebuchet MS"/>
        </w:rPr>
        <w:t>Evidentemente el planteo de la cuestión se centra alrededor de la expresión “cargo de mayor jerarquía” relacionada con el contenido del párrafo trascrito precedentemente.</w:t>
      </w:r>
      <w:proofErr w:type="gramEnd"/>
    </w:p>
    <w:p w14:paraId="76123444" w14:textId="77777777" w:rsidR="002D6CE5" w:rsidRDefault="002D6CE5" w:rsidP="002D6CE5">
      <w:pPr>
        <w:ind w:firstLine="709"/>
        <w:jc w:val="both"/>
        <w:rPr>
          <w:rFonts w:ascii="Trebuchet MS" w:hAnsi="Trebuchet MS"/>
        </w:rPr>
      </w:pPr>
    </w:p>
    <w:p w14:paraId="336C132F" w14:textId="77777777" w:rsidR="002D6CE5" w:rsidRDefault="002D6CE5" w:rsidP="002D6CE5">
      <w:pPr>
        <w:ind w:firstLine="709"/>
        <w:jc w:val="both"/>
        <w:rPr>
          <w:rFonts w:ascii="Trebuchet MS" w:hAnsi="Trebuchet MS"/>
        </w:rPr>
      </w:pPr>
      <w:r>
        <w:rPr>
          <w:rFonts w:ascii="Trebuchet MS" w:hAnsi="Trebuchet MS"/>
        </w:rPr>
        <w:t>Que la interpretación citada no procede, debido a que es emergente de dicho texto que debe resolverse, en primer lugar, si el nuevo cargo es efectivamente de mayor jerarquía, siendo excluyente esta consideración de toda otra interpretación de la misma.</w:t>
      </w:r>
    </w:p>
    <w:p w14:paraId="5428BCED" w14:textId="77777777" w:rsidR="002D6CE5" w:rsidRDefault="002D6CE5" w:rsidP="002D6CE5">
      <w:pPr>
        <w:ind w:firstLine="709"/>
        <w:jc w:val="both"/>
        <w:rPr>
          <w:rFonts w:ascii="Trebuchet MS" w:hAnsi="Trebuchet MS"/>
        </w:rPr>
      </w:pPr>
    </w:p>
    <w:p w14:paraId="39E4BB8C" w14:textId="77777777" w:rsidR="002D6CE5" w:rsidRDefault="002D6CE5" w:rsidP="002D6CE5">
      <w:pPr>
        <w:ind w:firstLine="709"/>
        <w:jc w:val="both"/>
        <w:rPr>
          <w:rFonts w:ascii="Trebuchet MS" w:hAnsi="Trebuchet MS"/>
        </w:rPr>
      </w:pPr>
      <w:r>
        <w:rPr>
          <w:rFonts w:ascii="Trebuchet MS" w:hAnsi="Trebuchet MS"/>
        </w:rPr>
        <w:lastRenderedPageBreak/>
        <w:t>Que cuando se trata de docentes que solicitan esta licencia para pasar a desempeñarse en un cargo de igual denominación, jerarquía y función, al no dejar margen de duda sobre ello, no procede que se aplique la cláusula alternativa del Inc. e) que remite a la consideración de la mayor remuneración para determinarla, sólo ante el caso de que aparezca aquélla, que no es el que se plantea en estas situaciones.</w:t>
      </w:r>
    </w:p>
    <w:p w14:paraId="16FBAF78" w14:textId="77777777" w:rsidR="002D6CE5" w:rsidRDefault="002D6CE5" w:rsidP="002D6CE5">
      <w:pPr>
        <w:ind w:firstLine="709"/>
        <w:jc w:val="both"/>
        <w:rPr>
          <w:rFonts w:ascii="Trebuchet MS" w:hAnsi="Trebuchet MS"/>
        </w:rPr>
      </w:pPr>
    </w:p>
    <w:p w14:paraId="50875E9E" w14:textId="77777777" w:rsidR="002D6CE5" w:rsidRDefault="002D6CE5" w:rsidP="002D6CE5">
      <w:pPr>
        <w:ind w:firstLine="709"/>
        <w:jc w:val="both"/>
        <w:rPr>
          <w:rFonts w:ascii="Trebuchet MS" w:hAnsi="Trebuchet MS"/>
        </w:rPr>
      </w:pPr>
      <w:r>
        <w:rPr>
          <w:rFonts w:ascii="Trebuchet MS" w:hAnsi="Trebuchet MS"/>
        </w:rPr>
        <w:t>Que es evidente que el propósito de la normativa citada ha sido solamente el de posibilitar el movimiento del personal que asciende en el escalafón (movilidad vertical), y no el de quien se mantiene en el mismo nivel (movilidad horizontal), porque ello no resultaría beneficioso para los alumnos, que deberán afrontar tantos cambios docentes, como alternativas de mayor nivel, alcancen los salarios en una y otra jurisdicción, con las graves consecuencias que ello puede acarrear para su formación, ante la falta de identidad de sus docentes a cargo, en continuo intercambio de los titulares con los suplentes.</w:t>
      </w:r>
    </w:p>
    <w:p w14:paraId="7445ACEF" w14:textId="77777777" w:rsidR="002D6CE5" w:rsidRDefault="002D6CE5" w:rsidP="002D6CE5">
      <w:pPr>
        <w:ind w:firstLine="709"/>
        <w:jc w:val="both"/>
        <w:rPr>
          <w:rFonts w:ascii="Trebuchet MS" w:hAnsi="Trebuchet MS"/>
        </w:rPr>
      </w:pPr>
    </w:p>
    <w:p w14:paraId="30084F5A" w14:textId="77777777" w:rsidR="002D6CE5" w:rsidRDefault="002D6CE5" w:rsidP="002D6CE5">
      <w:pPr>
        <w:ind w:firstLine="709"/>
        <w:jc w:val="both"/>
        <w:rPr>
          <w:rFonts w:ascii="Trebuchet MS" w:hAnsi="Trebuchet MS"/>
        </w:rPr>
      </w:pPr>
      <w:r>
        <w:rPr>
          <w:rFonts w:ascii="Trebuchet MS" w:hAnsi="Trebuchet MS"/>
        </w:rPr>
        <w:t>Que la situación que se plantea precedentemente es una realidad generalizada, vivida en los establecimientos de todos los niveles dependientes de la Superintendencia Nacional de Enseñanza Privada (SNEP), donde se produjo un éxodo del personal docente, al comenzar el presente período lectivo, tras una remuneración que, con el transcurso de los meses quedó en desventaja en muchos de esos casos, por las diferentes políticas salariales aplicadas.</w:t>
      </w:r>
    </w:p>
    <w:p w14:paraId="49D8F35B" w14:textId="77777777" w:rsidR="002D6CE5" w:rsidRDefault="002D6CE5" w:rsidP="002D6CE5">
      <w:pPr>
        <w:ind w:firstLine="709"/>
        <w:jc w:val="both"/>
        <w:rPr>
          <w:rFonts w:ascii="Trebuchet MS" w:hAnsi="Trebuchet MS"/>
        </w:rPr>
      </w:pPr>
    </w:p>
    <w:p w14:paraId="22FCC4B9" w14:textId="77777777" w:rsidR="002D6CE5" w:rsidRDefault="002D6CE5" w:rsidP="002D6CE5">
      <w:pPr>
        <w:ind w:firstLine="709"/>
        <w:jc w:val="both"/>
        <w:rPr>
          <w:rFonts w:ascii="Trebuchet MS" w:hAnsi="Trebuchet MS"/>
        </w:rPr>
      </w:pPr>
      <w:proofErr w:type="gramStart"/>
      <w:r>
        <w:rPr>
          <w:rFonts w:ascii="Trebuchet MS" w:hAnsi="Trebuchet MS"/>
        </w:rPr>
        <w:t>Que esta circunstancia otorga al empleador derecho a requerir, la acreditación por el docente que continúa vigente las causales por las que se le concediera esta licencia.</w:t>
      </w:r>
      <w:proofErr w:type="gramEnd"/>
    </w:p>
    <w:p w14:paraId="5613BECE" w14:textId="77777777" w:rsidR="002D6CE5" w:rsidRDefault="002D6CE5" w:rsidP="002D6CE5">
      <w:pPr>
        <w:ind w:firstLine="709"/>
        <w:jc w:val="both"/>
        <w:rPr>
          <w:rFonts w:ascii="Trebuchet MS" w:hAnsi="Trebuchet MS"/>
        </w:rPr>
      </w:pPr>
    </w:p>
    <w:p w14:paraId="4E8BB742" w14:textId="77777777" w:rsidR="002D6CE5" w:rsidRDefault="002D6CE5" w:rsidP="002D6CE5">
      <w:pPr>
        <w:ind w:firstLine="709"/>
        <w:jc w:val="both"/>
        <w:rPr>
          <w:rFonts w:ascii="Trebuchet MS" w:hAnsi="Trebuchet MS"/>
        </w:rPr>
      </w:pPr>
    </w:p>
    <w:p w14:paraId="61023152" w14:textId="77777777" w:rsidR="002D6CE5" w:rsidRDefault="002D6CE5" w:rsidP="002D6CE5">
      <w:pPr>
        <w:ind w:firstLine="709"/>
        <w:jc w:val="both"/>
        <w:rPr>
          <w:rFonts w:ascii="Trebuchet MS" w:hAnsi="Trebuchet MS"/>
        </w:rPr>
      </w:pPr>
    </w:p>
    <w:p w14:paraId="2C2B0888" w14:textId="77777777" w:rsidR="002D6CE5" w:rsidRDefault="002D6CE5" w:rsidP="002D6CE5">
      <w:pPr>
        <w:ind w:firstLine="709"/>
        <w:jc w:val="both"/>
        <w:rPr>
          <w:rFonts w:ascii="Trebuchet MS" w:hAnsi="Trebuchet MS"/>
        </w:rPr>
      </w:pPr>
    </w:p>
    <w:p w14:paraId="09F318E9" w14:textId="77777777" w:rsidR="002D6CE5" w:rsidRDefault="002D6CE5" w:rsidP="002D6CE5">
      <w:pPr>
        <w:ind w:firstLine="709"/>
        <w:jc w:val="both"/>
        <w:rPr>
          <w:rFonts w:ascii="Trebuchet MS" w:hAnsi="Trebuchet MS"/>
        </w:rPr>
      </w:pPr>
      <w:r>
        <w:rPr>
          <w:rFonts w:ascii="Trebuchet MS" w:hAnsi="Trebuchet MS"/>
        </w:rPr>
        <w:t xml:space="preserve">Que a lo anterior se suma la circunstancia que el cargo similar que pasa a desempeñar el docente titular, con carácter inestable, puede mantener por lapsos indefinidos de varios años, dicha situación, con perjuicio directo para el personal reemplazante, que no puede alcanzar así su titularidad y, además, se ve </w:t>
      </w:r>
    </w:p>
    <w:p w14:paraId="4E0F4B68" w14:textId="77777777" w:rsidR="002D6CE5" w:rsidRDefault="002D6CE5" w:rsidP="002D6CE5">
      <w:pPr>
        <w:ind w:firstLine="709"/>
        <w:jc w:val="both"/>
        <w:rPr>
          <w:rFonts w:ascii="Trebuchet MS" w:hAnsi="Trebuchet MS"/>
        </w:rPr>
      </w:pPr>
    </w:p>
    <w:p w14:paraId="3BCCA76E" w14:textId="77777777" w:rsidR="002D6CE5" w:rsidRDefault="002D6CE5" w:rsidP="002D6CE5">
      <w:pPr>
        <w:ind w:firstLine="709"/>
        <w:jc w:val="both"/>
        <w:rPr>
          <w:rFonts w:ascii="Trebuchet MS" w:hAnsi="Trebuchet MS"/>
        </w:rPr>
      </w:pPr>
      <w:proofErr w:type="gramStart"/>
      <w:r>
        <w:rPr>
          <w:rFonts w:ascii="Trebuchet MS" w:hAnsi="Trebuchet MS"/>
        </w:rPr>
        <w:t>permanentemente</w:t>
      </w:r>
      <w:proofErr w:type="gramEnd"/>
      <w:r>
        <w:rPr>
          <w:rFonts w:ascii="Trebuchet MS" w:hAnsi="Trebuchet MS"/>
        </w:rPr>
        <w:t xml:space="preserve"> en el riesgo de ser desplazado en cualquier momento por el reintegro, siempre posible, de aquél.</w:t>
      </w:r>
    </w:p>
    <w:p w14:paraId="353FE7DA" w14:textId="77777777" w:rsidR="002D6CE5" w:rsidRDefault="002D6CE5" w:rsidP="002D6CE5">
      <w:pPr>
        <w:jc w:val="both"/>
        <w:rPr>
          <w:rFonts w:ascii="Trebuchet MS" w:hAnsi="Trebuchet MS"/>
        </w:rPr>
      </w:pPr>
    </w:p>
    <w:p w14:paraId="6FAE5535" w14:textId="77777777" w:rsidR="002D6CE5" w:rsidRDefault="002D6CE5" w:rsidP="002D6CE5">
      <w:pPr>
        <w:ind w:firstLine="709"/>
        <w:jc w:val="both"/>
        <w:rPr>
          <w:rFonts w:ascii="Trebuchet MS" w:hAnsi="Trebuchet MS"/>
        </w:rPr>
      </w:pPr>
      <w:r>
        <w:rPr>
          <w:rFonts w:ascii="Trebuchet MS" w:hAnsi="Trebuchet MS"/>
        </w:rPr>
        <w:t>Que este Organismo no puede ser ajeno, en estas situaciones de fractura de la continuidad de la enseñanza, provocadas por una errada interpretación de las normas vigentes, ni quedar al margen de las consecuencias que crean para la escuela, para los docentes y para los alumnos.</w:t>
      </w:r>
    </w:p>
    <w:p w14:paraId="0E07C93E" w14:textId="77777777" w:rsidR="002D6CE5" w:rsidRDefault="002D6CE5" w:rsidP="002D6CE5">
      <w:pPr>
        <w:ind w:firstLine="709"/>
        <w:jc w:val="both"/>
        <w:rPr>
          <w:rFonts w:ascii="Trebuchet MS" w:hAnsi="Trebuchet MS"/>
        </w:rPr>
      </w:pPr>
    </w:p>
    <w:p w14:paraId="5BC01415" w14:textId="77777777" w:rsidR="002D6CE5" w:rsidRDefault="002D6CE5" w:rsidP="002D6CE5">
      <w:pPr>
        <w:ind w:firstLine="709"/>
        <w:jc w:val="both"/>
        <w:rPr>
          <w:rFonts w:ascii="Trebuchet MS" w:hAnsi="Trebuchet MS"/>
        </w:rPr>
      </w:pPr>
      <w:r>
        <w:rPr>
          <w:rFonts w:ascii="Trebuchet MS" w:hAnsi="Trebuchet MS"/>
        </w:rPr>
        <w:lastRenderedPageBreak/>
        <w:t xml:space="preserve">Por ello, y atento a lo aconsejado </w:t>
      </w:r>
      <w:proofErr w:type="gramStart"/>
      <w:r>
        <w:rPr>
          <w:rFonts w:ascii="Trebuchet MS" w:hAnsi="Trebuchet MS"/>
        </w:rPr>
        <w:t>por  la</w:t>
      </w:r>
      <w:proofErr w:type="gramEnd"/>
      <w:r>
        <w:rPr>
          <w:rFonts w:ascii="Trebuchet MS" w:hAnsi="Trebuchet MS"/>
        </w:rPr>
        <w:t xml:space="preserve"> Comisión de Asuntos Legales,</w:t>
      </w:r>
    </w:p>
    <w:p w14:paraId="72CF4B2F" w14:textId="77777777" w:rsidR="002D6CE5" w:rsidRDefault="002D6CE5" w:rsidP="002D6CE5">
      <w:pPr>
        <w:ind w:firstLine="709"/>
        <w:jc w:val="both"/>
        <w:rPr>
          <w:rFonts w:ascii="Trebuchet MS" w:hAnsi="Trebuchet MS"/>
        </w:rPr>
      </w:pPr>
    </w:p>
    <w:p w14:paraId="158436F3" w14:textId="77777777" w:rsidR="002D6CE5" w:rsidRDefault="002D6CE5" w:rsidP="002D6CE5">
      <w:pPr>
        <w:jc w:val="both"/>
        <w:rPr>
          <w:rFonts w:ascii="Trebuchet MS" w:hAnsi="Trebuchet MS"/>
        </w:rPr>
      </w:pPr>
    </w:p>
    <w:p w14:paraId="0C3CB8E9" w14:textId="77777777" w:rsidR="002D6CE5" w:rsidRDefault="002D6CE5" w:rsidP="002D6CE5">
      <w:pPr>
        <w:jc w:val="center"/>
        <w:rPr>
          <w:rFonts w:ascii="Trebuchet MS" w:hAnsi="Trebuchet MS"/>
          <w:b/>
        </w:rPr>
      </w:pPr>
      <w:r>
        <w:rPr>
          <w:rFonts w:ascii="Trebuchet MS" w:hAnsi="Trebuchet MS"/>
          <w:b/>
        </w:rPr>
        <w:t>EL CONSEJO GREMIAL DE ENSEÑANZA PRIVADA,</w:t>
      </w:r>
    </w:p>
    <w:p w14:paraId="108E71B4" w14:textId="77777777" w:rsidR="002D6CE5" w:rsidRDefault="002D6CE5" w:rsidP="002D6CE5">
      <w:pPr>
        <w:jc w:val="center"/>
        <w:rPr>
          <w:rFonts w:ascii="Trebuchet MS" w:hAnsi="Trebuchet MS"/>
          <w:b/>
        </w:rPr>
      </w:pPr>
    </w:p>
    <w:p w14:paraId="43ACBC90" w14:textId="77777777" w:rsidR="002D6CE5" w:rsidRDefault="002D6CE5" w:rsidP="002D6CE5">
      <w:pPr>
        <w:jc w:val="center"/>
        <w:rPr>
          <w:rFonts w:ascii="Trebuchet MS" w:hAnsi="Trebuchet MS"/>
          <w:b/>
        </w:rPr>
      </w:pPr>
      <w:r>
        <w:rPr>
          <w:rFonts w:ascii="Trebuchet MS" w:hAnsi="Trebuchet MS"/>
          <w:b/>
        </w:rPr>
        <w:t>REUNIDO EN COMISIÓN EN SESIÓN DE LA FECHA</w:t>
      </w:r>
    </w:p>
    <w:p w14:paraId="54CAC6AA" w14:textId="77777777" w:rsidR="002D6CE5" w:rsidRDefault="002D6CE5" w:rsidP="002D6CE5">
      <w:pPr>
        <w:jc w:val="center"/>
        <w:rPr>
          <w:rFonts w:ascii="Trebuchet MS" w:hAnsi="Trebuchet MS"/>
          <w:b/>
        </w:rPr>
      </w:pPr>
    </w:p>
    <w:p w14:paraId="0234463F" w14:textId="77777777" w:rsidR="002D6CE5" w:rsidRDefault="002D6CE5" w:rsidP="002D6CE5">
      <w:pPr>
        <w:jc w:val="center"/>
        <w:rPr>
          <w:rFonts w:ascii="Trebuchet MS" w:hAnsi="Trebuchet MS"/>
          <w:b/>
        </w:rPr>
      </w:pPr>
      <w:r>
        <w:rPr>
          <w:rFonts w:ascii="Trebuchet MS" w:hAnsi="Trebuchet MS"/>
          <w:b/>
        </w:rPr>
        <w:t>RESUELVE:</w:t>
      </w:r>
    </w:p>
    <w:p w14:paraId="2A77943D" w14:textId="77777777" w:rsidR="002D6CE5" w:rsidRDefault="002D6CE5" w:rsidP="002D6CE5">
      <w:pPr>
        <w:jc w:val="center"/>
        <w:rPr>
          <w:rFonts w:ascii="Trebuchet MS" w:hAnsi="Trebuchet MS"/>
          <w:b/>
        </w:rPr>
      </w:pPr>
    </w:p>
    <w:p w14:paraId="487EA83A" w14:textId="77777777" w:rsidR="002D6CE5" w:rsidRDefault="002D6CE5" w:rsidP="002D6CE5">
      <w:pPr>
        <w:rPr>
          <w:rFonts w:ascii="Trebuchet MS" w:hAnsi="Trebuchet MS"/>
        </w:rPr>
      </w:pPr>
    </w:p>
    <w:p w14:paraId="3E088F2A" w14:textId="77777777" w:rsidR="002D6CE5" w:rsidRDefault="002D6CE5" w:rsidP="002D6CE5">
      <w:pPr>
        <w:ind w:firstLine="709"/>
        <w:jc w:val="both"/>
        <w:rPr>
          <w:rFonts w:ascii="Trebuchet MS" w:hAnsi="Trebuchet MS"/>
        </w:rPr>
      </w:pPr>
      <w:r>
        <w:rPr>
          <w:rFonts w:ascii="Trebuchet MS" w:hAnsi="Trebuchet MS"/>
        </w:rPr>
        <w:t>1</w:t>
      </w:r>
      <w:proofErr w:type="gramStart"/>
      <w:r>
        <w:rPr>
          <w:rFonts w:ascii="Trebuchet MS" w:hAnsi="Trebuchet MS"/>
        </w:rPr>
        <w:t>º .-</w:t>
      </w:r>
      <w:proofErr w:type="gramEnd"/>
      <w:r>
        <w:rPr>
          <w:rFonts w:ascii="Trebuchet MS" w:hAnsi="Trebuchet MS"/>
        </w:rPr>
        <w:t xml:space="preserve"> Que procede la denegatoria de los pedidos de licencia que, por Art. 13º, apartado II, Inc. e), del Decreto N 3413/79 (Régimen de Licencias, Justificaciones y Franquicias), eleven los docentes de todos los niveles de los establecimientos de enseñanza privados, cuando los mismos se formulen para pasar a desempeñarse en un cargo con carácter inestable de la misma denominación, jerarquía y función del que ejerce el peticionante aunque aquél esté dotado de mayor remuneración por las razones expuestas en los considerandos que anteceden.</w:t>
      </w:r>
    </w:p>
    <w:p w14:paraId="69690CC8" w14:textId="77777777" w:rsidR="002D6CE5" w:rsidRDefault="002D6CE5" w:rsidP="002D6CE5">
      <w:pPr>
        <w:ind w:firstLine="709"/>
        <w:jc w:val="both"/>
        <w:rPr>
          <w:rFonts w:ascii="Trebuchet MS" w:hAnsi="Trebuchet MS"/>
        </w:rPr>
      </w:pPr>
    </w:p>
    <w:p w14:paraId="7E1C3C47" w14:textId="77777777" w:rsidR="002D6CE5" w:rsidRDefault="002D6CE5" w:rsidP="002D6CE5">
      <w:pPr>
        <w:ind w:firstLine="709"/>
        <w:jc w:val="both"/>
        <w:rPr>
          <w:rFonts w:ascii="Trebuchet MS" w:hAnsi="Trebuchet MS"/>
        </w:rPr>
      </w:pPr>
      <w:r>
        <w:rPr>
          <w:rFonts w:ascii="Trebuchet MS" w:hAnsi="Trebuchet MS"/>
        </w:rPr>
        <w:t>2º</w:t>
      </w:r>
      <w:proofErr w:type="gramStart"/>
      <w:r>
        <w:rPr>
          <w:rFonts w:ascii="Trebuchet MS" w:hAnsi="Trebuchet MS"/>
        </w:rPr>
        <w:t>.-</w:t>
      </w:r>
      <w:proofErr w:type="gramEnd"/>
      <w:r>
        <w:rPr>
          <w:rFonts w:ascii="Trebuchet MS" w:hAnsi="Trebuchet MS"/>
        </w:rPr>
        <w:t xml:space="preserve"> Que el empleador puede requerir el reintegro del docente a su cargo titular si ha desaparecido alguna de las causales por las cuales se le concediera esta licencia y que se mencionan taxativamente en la norma citada en el Art.1º, siempre que aquél no demuestre fehacientemente que la misma continúa.</w:t>
      </w:r>
    </w:p>
    <w:p w14:paraId="1C417804" w14:textId="77777777" w:rsidR="002D6CE5" w:rsidRDefault="002D6CE5" w:rsidP="002D6CE5">
      <w:pPr>
        <w:ind w:firstLine="709"/>
        <w:jc w:val="both"/>
        <w:rPr>
          <w:rFonts w:ascii="Trebuchet MS" w:hAnsi="Trebuchet MS"/>
        </w:rPr>
      </w:pPr>
    </w:p>
    <w:p w14:paraId="16A5EDA0" w14:textId="77777777" w:rsidR="002D6CE5" w:rsidRDefault="002D6CE5" w:rsidP="002D6CE5">
      <w:pPr>
        <w:ind w:firstLine="709"/>
        <w:jc w:val="both"/>
        <w:rPr>
          <w:rFonts w:ascii="Trebuchet MS" w:hAnsi="Trebuchet MS"/>
        </w:rPr>
      </w:pPr>
      <w:r>
        <w:rPr>
          <w:rFonts w:ascii="Trebuchet MS" w:hAnsi="Trebuchet MS"/>
        </w:rPr>
        <w:t>3º</w:t>
      </w:r>
      <w:proofErr w:type="gramStart"/>
      <w:r>
        <w:rPr>
          <w:rFonts w:ascii="Trebuchet MS" w:hAnsi="Trebuchet MS"/>
        </w:rPr>
        <w:t>.-</w:t>
      </w:r>
      <w:proofErr w:type="gramEnd"/>
      <w:r>
        <w:rPr>
          <w:rFonts w:ascii="Trebuchet MS" w:hAnsi="Trebuchet MS"/>
        </w:rPr>
        <w:t xml:space="preserve"> Desglosar la presente resolución para su registro y archivo previa sustitución por copia autenticada y comunicación a la Superintendencia Nacional de Enseñanza Privada con solicitud de publicación en el Boletín SNEP. Cumplido, Archívese.</w:t>
      </w:r>
    </w:p>
    <w:p w14:paraId="7699C121" w14:textId="77777777" w:rsidR="002D6CE5" w:rsidRDefault="002D6CE5" w:rsidP="002D6CE5">
      <w:pPr>
        <w:rPr>
          <w:rFonts w:ascii="Trebuchet MS" w:hAnsi="Trebuchet MS"/>
        </w:rPr>
      </w:pPr>
    </w:p>
    <w:p w14:paraId="0392FD10" w14:textId="77777777" w:rsidR="002D6CE5" w:rsidRDefault="002D6CE5" w:rsidP="002D6CE5">
      <w:pPr>
        <w:rPr>
          <w:rFonts w:ascii="Trebuchet MS" w:hAnsi="Trebuchet MS"/>
        </w:rPr>
      </w:pPr>
    </w:p>
    <w:p w14:paraId="3902FBD8" w14:textId="77777777" w:rsidR="002D6CE5" w:rsidRDefault="002D6CE5" w:rsidP="002D6CE5">
      <w:pPr>
        <w:jc w:val="center"/>
        <w:rPr>
          <w:rFonts w:ascii="Trebuchet MS" w:hAnsi="Trebuchet MS"/>
          <w:b/>
        </w:rPr>
      </w:pPr>
    </w:p>
    <w:p w14:paraId="42846DAD" w14:textId="77777777" w:rsidR="002D6CE5" w:rsidRDefault="002D6CE5" w:rsidP="002D6CE5">
      <w:pPr>
        <w:jc w:val="center"/>
        <w:rPr>
          <w:rFonts w:ascii="Trebuchet MS" w:hAnsi="Trebuchet MS"/>
          <w:b/>
        </w:rPr>
      </w:pPr>
    </w:p>
    <w:p w14:paraId="6D706860" w14:textId="77777777" w:rsidR="002D6CE5" w:rsidRDefault="002D6CE5" w:rsidP="002D6CE5">
      <w:pPr>
        <w:rPr>
          <w:rFonts w:ascii="Trebuchet MS" w:hAnsi="Trebuchet MS"/>
        </w:rPr>
      </w:pPr>
    </w:p>
    <w:p w14:paraId="0C61259C" w14:textId="77777777" w:rsidR="002D6CE5" w:rsidRDefault="002D6CE5" w:rsidP="002D6CE5">
      <w:pPr>
        <w:jc w:val="center"/>
        <w:rPr>
          <w:rFonts w:ascii="Trebuchet MS" w:hAnsi="Trebuchet MS"/>
          <w:b/>
        </w:rPr>
      </w:pPr>
    </w:p>
    <w:p w14:paraId="05EC9988" w14:textId="77777777" w:rsidR="002D6CE5" w:rsidRDefault="002D6CE5" w:rsidP="002D6CE5">
      <w:pPr>
        <w:jc w:val="center"/>
        <w:rPr>
          <w:rFonts w:ascii="Trebuchet MS" w:hAnsi="Trebuchet MS"/>
          <w:b/>
          <w:lang w:val="es-MX"/>
        </w:rPr>
      </w:pPr>
    </w:p>
    <w:p w14:paraId="60CAB14C" w14:textId="77777777" w:rsidR="002D6CE5" w:rsidRDefault="002D6CE5" w:rsidP="002D6CE5">
      <w:pPr>
        <w:jc w:val="center"/>
        <w:rPr>
          <w:rFonts w:ascii="Trebuchet MS" w:hAnsi="Trebuchet MS"/>
          <w:b/>
          <w:lang w:val="es-MX"/>
        </w:rPr>
      </w:pPr>
    </w:p>
    <w:p w14:paraId="5B00A7F8" w14:textId="77777777" w:rsidR="002D6CE5" w:rsidRDefault="002D6CE5" w:rsidP="002D6CE5">
      <w:pPr>
        <w:jc w:val="center"/>
        <w:rPr>
          <w:rFonts w:ascii="Trebuchet MS" w:hAnsi="Trebuchet MS"/>
          <w:b/>
          <w:lang w:val="es-MX"/>
        </w:rPr>
      </w:pPr>
    </w:p>
    <w:p w14:paraId="4338BC7F" w14:textId="77777777" w:rsidR="002D6CE5" w:rsidRDefault="002D6CE5" w:rsidP="002D6CE5">
      <w:pPr>
        <w:jc w:val="center"/>
        <w:rPr>
          <w:rFonts w:ascii="Trebuchet MS" w:hAnsi="Trebuchet MS"/>
          <w:b/>
          <w:lang w:val="es-MX"/>
        </w:rPr>
      </w:pPr>
    </w:p>
    <w:p w14:paraId="72A42116" w14:textId="77777777" w:rsidR="002D6CE5" w:rsidRDefault="002D6CE5" w:rsidP="002D6CE5">
      <w:pPr>
        <w:jc w:val="center"/>
        <w:rPr>
          <w:rFonts w:ascii="Trebuchet MS" w:hAnsi="Trebuchet MS"/>
          <w:b/>
          <w:lang w:val="es-MX"/>
        </w:rPr>
      </w:pPr>
    </w:p>
    <w:p w14:paraId="1D9637BD" w14:textId="77777777" w:rsidR="002D6CE5" w:rsidRDefault="002D6CE5" w:rsidP="002D6CE5">
      <w:pPr>
        <w:jc w:val="center"/>
        <w:rPr>
          <w:rFonts w:ascii="Trebuchet MS" w:hAnsi="Trebuchet MS"/>
          <w:b/>
          <w:lang w:val="es-MX"/>
        </w:rPr>
      </w:pPr>
    </w:p>
    <w:p w14:paraId="26E5131F" w14:textId="77777777" w:rsidR="002D6CE5" w:rsidRDefault="002D6CE5" w:rsidP="002D6CE5">
      <w:pPr>
        <w:jc w:val="center"/>
        <w:rPr>
          <w:rFonts w:ascii="Trebuchet MS" w:hAnsi="Trebuchet MS"/>
          <w:b/>
          <w:lang w:val="es-MX"/>
        </w:rPr>
      </w:pPr>
    </w:p>
    <w:p w14:paraId="3D1B4E59" w14:textId="77777777" w:rsidR="002D6CE5" w:rsidRDefault="002D6CE5" w:rsidP="002D6CE5">
      <w:pPr>
        <w:jc w:val="center"/>
        <w:rPr>
          <w:rFonts w:ascii="Trebuchet MS" w:hAnsi="Trebuchet MS"/>
          <w:b/>
          <w:lang w:val="es-MX"/>
        </w:rPr>
      </w:pPr>
    </w:p>
    <w:p w14:paraId="5B998E1D" w14:textId="77777777" w:rsidR="002D6CE5" w:rsidRDefault="002D6CE5" w:rsidP="002D6CE5">
      <w:pPr>
        <w:jc w:val="center"/>
        <w:rPr>
          <w:rFonts w:ascii="Trebuchet MS" w:hAnsi="Trebuchet MS"/>
          <w:b/>
          <w:lang w:val="es-MX"/>
        </w:rPr>
      </w:pPr>
    </w:p>
    <w:p w14:paraId="2CEDC9F3" w14:textId="77777777" w:rsidR="002D6CE5" w:rsidRDefault="002D6CE5" w:rsidP="002D6CE5">
      <w:pPr>
        <w:rPr>
          <w:rFonts w:ascii="Trebuchet MS" w:hAnsi="Trebuchet MS"/>
          <w:b/>
          <w:lang w:val="es-MX"/>
        </w:rPr>
      </w:pPr>
    </w:p>
    <w:p w14:paraId="396939D5" w14:textId="77777777" w:rsidR="002D6CE5" w:rsidRPr="008742E5" w:rsidRDefault="002D6CE5" w:rsidP="002D6CE5">
      <w:pPr>
        <w:jc w:val="center"/>
        <w:rPr>
          <w:rFonts w:ascii="Trebuchet MS" w:hAnsi="Trebuchet MS"/>
          <w:b/>
          <w:lang w:val="es-MX"/>
        </w:rPr>
      </w:pPr>
    </w:p>
    <w:p w14:paraId="6CDB0543" w14:textId="53D6F2D0" w:rsidR="00592F1B" w:rsidRPr="002D6CE5" w:rsidRDefault="00592F1B" w:rsidP="002D6CE5"/>
    <w:sectPr w:rsidR="00592F1B" w:rsidRPr="002D6CE5"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D6CE5"/>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821</Words>
  <Characters>4520</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2021-05-04T14:27:00Z</dcterms:created>
  <dcterms:modified xsi:type="dcterms:W3CDTF">2021-05-04T14:27:00Z</dcterms:modified>
</cp:coreProperties>
</file>