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BE891" w14:textId="77777777" w:rsidR="00FF0EE3" w:rsidRDefault="00FF0EE3" w:rsidP="00FF0EE3">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78E5C848" w14:textId="77777777" w:rsidR="00FF0EE3" w:rsidRDefault="00FF0EE3" w:rsidP="00FF0EE3">
      <w:pPr>
        <w:widowControl w:val="0"/>
        <w:autoSpaceDE w:val="0"/>
        <w:autoSpaceDN w:val="0"/>
        <w:adjustRightInd w:val="0"/>
        <w:spacing w:after="0" w:line="20" w:lineRule="exact"/>
        <w:ind w:right="-1"/>
        <w:rPr>
          <w:rFonts w:ascii="Times New Roman" w:hAnsi="Times New Roman" w:cs="Times New Roman"/>
          <w:sz w:val="2"/>
          <w:szCs w:val="2"/>
          <w:lang w:val="es-ES"/>
        </w:rPr>
      </w:pPr>
    </w:p>
    <w:p w14:paraId="2241688C" w14:textId="77777777" w:rsidR="00FF0EE3" w:rsidRDefault="00FF0EE3" w:rsidP="00FF0EE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2547609" w14:textId="77777777" w:rsidR="00FF0EE3" w:rsidRDefault="00FF0EE3" w:rsidP="00FF0EE3">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562C2C42" w14:textId="77777777" w:rsidR="00FF0EE3" w:rsidRDefault="00FF0EE3" w:rsidP="00FF0EE3">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SE FIJAN NORMAS PARA EL PERSONAL DE ESCUELAS ESPECIALES </w:t>
      </w:r>
    </w:p>
    <w:p w14:paraId="3D41136F" w14:textId="77AAC1E8" w:rsidR="00FF0EE3" w:rsidRDefault="00FF0EE3" w:rsidP="00FF0EE3">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GOBIERNO DE LA CIUDAD DE BUENOS AIRES</w:t>
      </w:r>
    </w:p>
    <w:p w14:paraId="442F7454" w14:textId="77777777" w:rsidR="00FF0EE3" w:rsidRDefault="00FF0EE3" w:rsidP="00FF0EE3">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SECRETARÍA DE EDUCACIÓN </w:t>
      </w:r>
    </w:p>
    <w:p w14:paraId="04934CD7" w14:textId="6B8E890A" w:rsidR="00FF0EE3" w:rsidRDefault="00FF0EE3" w:rsidP="00FF0EE3">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Nº 579 / 97</w:t>
      </w:r>
    </w:p>
    <w:p w14:paraId="13B36B51" w14:textId="77777777" w:rsidR="00FF0EE3" w:rsidRDefault="00FF0EE3" w:rsidP="00FF0EE3">
      <w:pPr>
        <w:widowControl w:val="0"/>
        <w:autoSpaceDE w:val="0"/>
        <w:autoSpaceDN w:val="0"/>
        <w:adjustRightInd w:val="0"/>
        <w:spacing w:before="1" w:after="0" w:line="240" w:lineRule="auto"/>
        <w:ind w:right="-1"/>
        <w:jc w:val="right"/>
        <w:rPr>
          <w:rFonts w:ascii="Trebuchet MS" w:hAnsi="Trebuchet MS" w:cs="Trebuchet MS"/>
          <w:kern w:val="1"/>
          <w:sz w:val="19"/>
          <w:szCs w:val="19"/>
          <w:lang w:val="es-ES"/>
        </w:rPr>
      </w:pPr>
      <w:r>
        <w:rPr>
          <w:rFonts w:ascii="Trebuchet MS" w:hAnsi="Trebuchet MS" w:cs="Trebuchet MS"/>
          <w:sz w:val="19"/>
          <w:szCs w:val="19"/>
          <w:lang w:val="es-ES"/>
        </w:rPr>
        <w:t>Buenos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31</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marzo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1997</w:t>
      </w:r>
    </w:p>
    <w:p w14:paraId="21F77A79" w14:textId="77777777" w:rsidR="00FF0EE3" w:rsidRDefault="00FF0EE3" w:rsidP="00FF0EE3">
      <w:pPr>
        <w:widowControl w:val="0"/>
        <w:autoSpaceDE w:val="0"/>
        <w:autoSpaceDN w:val="0"/>
        <w:adjustRightInd w:val="0"/>
        <w:spacing w:after="0" w:line="240" w:lineRule="auto"/>
        <w:ind w:right="-1"/>
        <w:rPr>
          <w:rFonts w:ascii="Times New Roman" w:hAnsi="Times New Roman" w:cs="Times New Roman"/>
          <w:b/>
          <w:bCs/>
          <w:lang w:val="es-ES"/>
        </w:rPr>
      </w:pPr>
    </w:p>
    <w:p w14:paraId="6683A8D4" w14:textId="77777777" w:rsidR="00FF0EE3" w:rsidRDefault="00FF0EE3" w:rsidP="00FF0EE3">
      <w:pPr>
        <w:widowControl w:val="0"/>
        <w:autoSpaceDE w:val="0"/>
        <w:autoSpaceDN w:val="0"/>
        <w:adjustRightInd w:val="0"/>
        <w:spacing w:before="183" w:after="0" w:line="240" w:lineRule="auto"/>
        <w:ind w:right="-1"/>
        <w:rPr>
          <w:rFonts w:ascii="Times New Roman" w:hAnsi="Times New Roman" w:cs="Times New Roman"/>
          <w:b/>
          <w:bCs/>
          <w:sz w:val="19"/>
          <w:szCs w:val="19"/>
          <w:lang w:val="es-ES"/>
        </w:rPr>
      </w:pPr>
      <w:r>
        <w:rPr>
          <w:rFonts w:ascii="Trebuchet MS" w:hAnsi="Trebuchet MS" w:cs="Trebuchet MS"/>
          <w:b/>
          <w:bCs/>
          <w:sz w:val="19"/>
          <w:szCs w:val="19"/>
          <w:lang w:val="es-ES"/>
        </w:rPr>
        <w:t>VISTO</w:t>
      </w:r>
    </w:p>
    <w:p w14:paraId="2023B8D8" w14:textId="63F0BBAF" w:rsidR="00FF0EE3" w:rsidRPr="00FF0EE3" w:rsidRDefault="00FF0EE3" w:rsidP="00FF0EE3">
      <w:pPr>
        <w:widowControl w:val="0"/>
        <w:autoSpaceDE w:val="0"/>
        <w:autoSpaceDN w:val="0"/>
        <w:adjustRightInd w:val="0"/>
        <w:spacing w:before="183" w:after="0" w:line="240" w:lineRule="auto"/>
        <w:ind w:right="-1"/>
        <w:rPr>
          <w:rFonts w:ascii="Times New Roman" w:hAnsi="Times New Roman" w:cs="Times New Roman"/>
          <w:b/>
          <w:bCs/>
          <w:sz w:val="19"/>
          <w:szCs w:val="19"/>
          <w:lang w:val="es-ES"/>
        </w:rPr>
      </w:pP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política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Educativa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Gobierno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subraya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importancia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ofrecer</w:t>
      </w:r>
    </w:p>
    <w:p w14:paraId="15770931" w14:textId="77777777" w:rsidR="00FF0EE3" w:rsidRDefault="00FF0EE3" w:rsidP="00FF0E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igualdad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oportunidades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vecinos,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atendiendo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diversidad,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implica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cada uno la mejor oferta educativa, en el ámbito más adecuado y que en muchos casos, un recurso óptimo para lograrlo en la Integración Educativa</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y,</w:t>
      </w:r>
    </w:p>
    <w:p w14:paraId="12A864A9" w14:textId="77777777" w:rsidR="00FF0EE3" w:rsidRDefault="00FF0EE3" w:rsidP="00FF0E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12A6249" w14:textId="77777777" w:rsidR="00FF0EE3" w:rsidRDefault="00FF0EE3" w:rsidP="00FF0EE3">
      <w:pPr>
        <w:widowControl w:val="0"/>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320981E2" w14:textId="77777777" w:rsidR="00FF0EE3" w:rsidRDefault="00FF0EE3" w:rsidP="00FF0EE3">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31C87C24" w14:textId="77777777" w:rsidR="00FF0EE3" w:rsidRDefault="00FF0EE3" w:rsidP="00FF0EE3">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Artículo 23 de la Constitución de la Ciudad de Buenos Aires “asegura la igualdad de oportunidades y posibilidades para el acceso, permanencia, reinserción y egreso del sistema educativo”.</w:t>
      </w:r>
    </w:p>
    <w:p w14:paraId="4E6BB957" w14:textId="77777777" w:rsidR="00FF0EE3" w:rsidRDefault="00FF0EE3" w:rsidP="00FF0EE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5B2270F" w14:textId="77777777" w:rsidR="00FF0EE3" w:rsidRDefault="00FF0EE3" w:rsidP="00FF0E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Artículo 24º de la Constitución de la Ciudad de Buenos Aires “garantiza el derecho de las personas con necesidades especiales a educarse y ejercer tareas docentes, promoviendo su integración en todos los niveles y modalidades del sistema”;</w:t>
      </w:r>
    </w:p>
    <w:p w14:paraId="6E9125DD" w14:textId="77777777" w:rsidR="00FF0EE3" w:rsidRDefault="00FF0EE3" w:rsidP="00FF0E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166910F" w14:textId="77777777" w:rsidR="00FF0EE3" w:rsidRDefault="00FF0EE3" w:rsidP="00FF0E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es necesario coordinar acciones existentes y optimizar las mismas, de modo que la experiencia subsecuente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fundamentación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teórica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sustente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contenido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futura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 Buenos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Aires;</w:t>
      </w:r>
    </w:p>
    <w:p w14:paraId="66D7DD5D" w14:textId="77777777" w:rsidR="00FF0EE3" w:rsidRDefault="00FF0EE3" w:rsidP="00FF0E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2542EBA" w14:textId="77777777" w:rsidR="00FF0EE3" w:rsidRDefault="00FF0EE3" w:rsidP="00FF0E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tendencia mundial es favorecer la participación de los niños discapacitados y/o con necesidades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educativas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especiales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comunes,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beneficia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contribuye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puedan realizar aprendizajes que los preparen para la</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vida;</w:t>
      </w:r>
    </w:p>
    <w:p w14:paraId="7291454C" w14:textId="77777777" w:rsidR="00FF0EE3" w:rsidRDefault="00FF0EE3" w:rsidP="00FF0EE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A1C6980" w14:textId="77777777" w:rsidR="00FF0EE3" w:rsidRDefault="00FF0EE3" w:rsidP="00FF0EE3">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este criterio ha sido compartido en nuestro país y ha adquirido especial relevancia, particularmente a partir de la recuperación de la Democracia;</w:t>
      </w:r>
    </w:p>
    <w:p w14:paraId="3F082BD7" w14:textId="77777777" w:rsidR="00FF0EE3" w:rsidRDefault="00FF0EE3" w:rsidP="00FF0EE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786B6DD" w14:textId="77777777" w:rsidR="00FF0EE3" w:rsidRDefault="00FF0EE3" w:rsidP="00FF0EE3">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consecuentemente se han elaborado documentos y normas legales previos a los actuales y que las conclusiones del Congreso Pedagógico Nacional también se expresan en este sentido;</w:t>
      </w:r>
    </w:p>
    <w:p w14:paraId="46221B5E" w14:textId="77777777" w:rsidR="00FF0EE3" w:rsidRDefault="00FF0EE3" w:rsidP="00FF0EE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580D23F" w14:textId="77777777" w:rsidR="00FF0EE3" w:rsidRDefault="00FF0EE3" w:rsidP="00FF0EE3">
      <w:pPr>
        <w:widowControl w:val="0"/>
        <w:autoSpaceDE w:val="0"/>
        <w:autoSpaceDN w:val="0"/>
        <w:adjustRightInd w:val="0"/>
        <w:spacing w:after="0" w:line="47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esto implica articular nociones con todos los niveles y modalidades del sistema; Que es necesario producir normas legales que sustenten las actuaciones.</w:t>
      </w:r>
    </w:p>
    <w:p w14:paraId="5A0E8058" w14:textId="77777777" w:rsidR="00FF0EE3" w:rsidRDefault="00FF0EE3" w:rsidP="00FF0EE3">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795E986A" w14:textId="77777777" w:rsidR="00FF0EE3" w:rsidRDefault="00FF0EE3" w:rsidP="00FF0EE3">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SECRETARIO DE EDUCACION RESUELVE:</w:t>
      </w:r>
    </w:p>
    <w:p w14:paraId="3D0A22A7" w14:textId="77777777" w:rsidR="00FF0EE3" w:rsidRDefault="00FF0EE3" w:rsidP="00FF0EE3">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1º: Determinase que todo docente perteneciente a la planta orgánica funcional de cada establecimiento del Área de Educación Especial podrá desempeñarse como “miembro integrador”.</w:t>
      </w:r>
    </w:p>
    <w:p w14:paraId="48E03C28" w14:textId="77777777" w:rsidR="00FF0EE3" w:rsidRDefault="00FF0EE3" w:rsidP="00FF0EE3">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5D709C0D" w14:textId="77777777" w:rsidR="00FF0EE3" w:rsidRDefault="00FF0EE3" w:rsidP="00FF0E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2º: Autorizase a quienes cumplan cualquier función de apoyo a la integración (docente o cualquier otro miembro del equipo escolar), el desempeño en otros establecimientos, en horario completo o parcial, y por los períodos del tiempo que se requiera, según las necesidades detectadas, las exigencias de</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la estrategia elegida y las condiciones del</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contexto.</w:t>
      </w:r>
    </w:p>
    <w:p w14:paraId="441F908A" w14:textId="77777777" w:rsidR="00FF0EE3" w:rsidRDefault="00FF0EE3" w:rsidP="00FF0EE3">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3º: Determinase las pautas de trabajo con respecto a cada estrategia educativa, las que no incorporan como anexo 1 de la presente Resolución.</w:t>
      </w:r>
    </w:p>
    <w:p w14:paraId="09F8D49B" w14:textId="77777777" w:rsidR="00FF0EE3" w:rsidRDefault="00FF0EE3" w:rsidP="00FF0EE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A00E2F3" w14:textId="77777777" w:rsidR="00FF0EE3" w:rsidRDefault="00FF0EE3" w:rsidP="00FF0E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 xml:space="preserve">Artículo 4º: </w:t>
      </w:r>
      <w:proofErr w:type="spellStart"/>
      <w:r>
        <w:rPr>
          <w:rFonts w:ascii="Trebuchet MS" w:hAnsi="Trebuchet MS" w:cs="Trebuchet MS"/>
          <w:kern w:val="1"/>
          <w:sz w:val="19"/>
          <w:szCs w:val="19"/>
          <w:lang w:val="es-ES"/>
        </w:rPr>
        <w:t>Encomiéndase</w:t>
      </w:r>
      <w:proofErr w:type="spellEnd"/>
      <w:r>
        <w:rPr>
          <w:rFonts w:ascii="Trebuchet MS" w:hAnsi="Trebuchet MS" w:cs="Trebuchet MS"/>
          <w:kern w:val="1"/>
          <w:sz w:val="19"/>
          <w:szCs w:val="19"/>
          <w:lang w:val="es-ES"/>
        </w:rPr>
        <w:t xml:space="preserve"> a la Dirección General de Educación la responsabilidad de llevar a cabo lo resuelto precedentemente.</w:t>
      </w:r>
    </w:p>
    <w:p w14:paraId="7F0F574B" w14:textId="77777777" w:rsidR="00FF0EE3" w:rsidRDefault="00FF0EE3" w:rsidP="00FF0E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A94E258" w14:textId="77777777" w:rsidR="00FF0EE3" w:rsidRDefault="00FF0EE3" w:rsidP="00FF0E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5º: Regístrese y pase para conocimiento y aplicación a la Dirección General de Educación (Direcciones de Áreas Educativas) y Dirección General Coordinación Financiera y Contable (Dirección Administrativa Docente) Cumplido Archívese.</w:t>
      </w:r>
    </w:p>
    <w:p w14:paraId="0CBBF475" w14:textId="77777777" w:rsidR="00FF0EE3" w:rsidRDefault="00FF0EE3" w:rsidP="00FF0EE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19DDF9B" w14:textId="77777777" w:rsidR="00FF0EE3" w:rsidRDefault="00FF0EE3" w:rsidP="00FF0EE3">
      <w:pPr>
        <w:widowControl w:val="0"/>
        <w:autoSpaceDE w:val="0"/>
        <w:autoSpaceDN w:val="0"/>
        <w:adjustRightInd w:val="0"/>
        <w:spacing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Dr.</w:t>
      </w:r>
      <w:r>
        <w:rPr>
          <w:rFonts w:ascii="Trebuchet MS" w:hAnsi="Trebuchet MS" w:cs="Trebuchet MS"/>
          <w:spacing w:val="-7"/>
          <w:kern w:val="1"/>
          <w:sz w:val="15"/>
          <w:szCs w:val="15"/>
          <w:lang w:val="es-ES"/>
        </w:rPr>
        <w:t xml:space="preserve"> </w:t>
      </w:r>
      <w:r>
        <w:rPr>
          <w:rFonts w:ascii="Trebuchet MS" w:hAnsi="Trebuchet MS" w:cs="Trebuchet MS"/>
          <w:kern w:val="1"/>
          <w:sz w:val="15"/>
          <w:szCs w:val="15"/>
          <w:lang w:val="es-ES"/>
        </w:rPr>
        <w:t>Horacio</w:t>
      </w:r>
      <w:r>
        <w:rPr>
          <w:rFonts w:ascii="Trebuchet MS" w:hAnsi="Trebuchet MS" w:cs="Trebuchet MS"/>
          <w:spacing w:val="-7"/>
          <w:kern w:val="1"/>
          <w:sz w:val="15"/>
          <w:szCs w:val="15"/>
          <w:lang w:val="es-ES"/>
        </w:rPr>
        <w:t xml:space="preserve"> </w:t>
      </w:r>
      <w:r>
        <w:rPr>
          <w:rFonts w:ascii="Trebuchet MS" w:hAnsi="Trebuchet MS" w:cs="Trebuchet MS"/>
          <w:kern w:val="1"/>
          <w:sz w:val="15"/>
          <w:szCs w:val="15"/>
          <w:lang w:val="es-ES"/>
        </w:rPr>
        <w:t>Sanguinetti</w:t>
      </w:r>
      <w:r>
        <w:rPr>
          <w:rFonts w:ascii="Trebuchet MS" w:hAnsi="Trebuchet MS" w:cs="Trebuchet MS"/>
          <w:spacing w:val="-1"/>
          <w:kern w:val="1"/>
          <w:sz w:val="15"/>
          <w:szCs w:val="15"/>
          <w:lang w:val="es-ES"/>
        </w:rPr>
        <w:t xml:space="preserve"> </w:t>
      </w:r>
      <w:r>
        <w:rPr>
          <w:rFonts w:ascii="Trebuchet MS" w:hAnsi="Trebuchet MS" w:cs="Trebuchet MS"/>
          <w:kern w:val="1"/>
          <w:sz w:val="15"/>
          <w:szCs w:val="15"/>
          <w:lang w:val="es-ES"/>
        </w:rPr>
        <w:t>Secretario de</w:t>
      </w:r>
      <w:r>
        <w:rPr>
          <w:rFonts w:ascii="Trebuchet MS" w:hAnsi="Trebuchet MS" w:cs="Trebuchet MS"/>
          <w:spacing w:val="-13"/>
          <w:kern w:val="1"/>
          <w:sz w:val="15"/>
          <w:szCs w:val="15"/>
          <w:lang w:val="es-ES"/>
        </w:rPr>
        <w:t xml:space="preserve"> </w:t>
      </w:r>
      <w:r>
        <w:rPr>
          <w:rFonts w:ascii="Trebuchet MS" w:hAnsi="Trebuchet MS" w:cs="Trebuchet MS"/>
          <w:kern w:val="1"/>
          <w:sz w:val="15"/>
          <w:szCs w:val="15"/>
          <w:lang w:val="es-ES"/>
        </w:rPr>
        <w:t>Educación</w:t>
      </w:r>
    </w:p>
    <w:p w14:paraId="40981281" w14:textId="77777777" w:rsidR="00FF0EE3" w:rsidRDefault="00FF0EE3" w:rsidP="00FF0EE3">
      <w:pPr>
        <w:widowControl w:val="0"/>
        <w:autoSpaceDE w:val="0"/>
        <w:autoSpaceDN w:val="0"/>
        <w:adjustRightInd w:val="0"/>
        <w:spacing w:before="1"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Gobierno de la Ciudad de Buenos</w:t>
      </w:r>
      <w:r>
        <w:rPr>
          <w:rFonts w:ascii="Trebuchet MS" w:hAnsi="Trebuchet MS" w:cs="Trebuchet MS"/>
          <w:spacing w:val="-4"/>
          <w:kern w:val="1"/>
          <w:sz w:val="15"/>
          <w:szCs w:val="15"/>
          <w:lang w:val="es-ES"/>
        </w:rPr>
        <w:t xml:space="preserve"> </w:t>
      </w:r>
      <w:r>
        <w:rPr>
          <w:rFonts w:ascii="Trebuchet MS" w:hAnsi="Trebuchet MS" w:cs="Trebuchet MS"/>
          <w:kern w:val="1"/>
          <w:sz w:val="15"/>
          <w:szCs w:val="15"/>
          <w:lang w:val="es-ES"/>
        </w:rPr>
        <w:t>Aires</w:t>
      </w:r>
    </w:p>
    <w:p w14:paraId="24A2227E" w14:textId="77777777" w:rsidR="00FF0EE3" w:rsidRDefault="00FF0EE3" w:rsidP="00FF0EE3">
      <w:pPr>
        <w:widowControl w:val="0"/>
        <w:autoSpaceDE w:val="0"/>
        <w:autoSpaceDN w:val="0"/>
        <w:adjustRightInd w:val="0"/>
        <w:spacing w:before="6" w:after="0" w:line="240" w:lineRule="auto"/>
        <w:ind w:right="-1"/>
        <w:rPr>
          <w:rFonts w:ascii="Times New Roman" w:hAnsi="Times New Roman" w:cs="Times New Roman"/>
          <w:kern w:val="1"/>
          <w:sz w:val="21"/>
          <w:szCs w:val="21"/>
          <w:lang w:val="es-ES"/>
        </w:rPr>
      </w:pPr>
    </w:p>
    <w:p w14:paraId="7B11F2C4" w14:textId="77777777" w:rsidR="00FF0EE3" w:rsidRDefault="00FF0EE3" w:rsidP="00FF0EE3">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w:t>
      </w:r>
    </w:p>
    <w:p w14:paraId="7A9B55D7" w14:textId="77777777" w:rsidR="00FF0EE3" w:rsidRDefault="00FF0EE3" w:rsidP="00FF0EE3">
      <w:pPr>
        <w:widowControl w:val="0"/>
        <w:autoSpaceDE w:val="0"/>
        <w:autoSpaceDN w:val="0"/>
        <w:adjustRightInd w:val="0"/>
        <w:spacing w:before="6" w:after="0" w:line="240" w:lineRule="auto"/>
        <w:ind w:right="-1"/>
        <w:rPr>
          <w:rFonts w:ascii="Times New Roman" w:hAnsi="Times New Roman" w:cs="Times New Roman"/>
          <w:b/>
          <w:bCs/>
          <w:kern w:val="1"/>
          <w:sz w:val="18"/>
          <w:szCs w:val="18"/>
          <w:lang w:val="es-ES"/>
        </w:rPr>
      </w:pPr>
    </w:p>
    <w:p w14:paraId="34391710" w14:textId="77777777" w:rsidR="00FF0EE3" w:rsidRDefault="00FF0EE3" w:rsidP="00FF0EE3">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Nº 579/SED/97)</w:t>
      </w:r>
    </w:p>
    <w:p w14:paraId="0D368154" w14:textId="77777777" w:rsidR="00FF0EE3" w:rsidRDefault="00FF0EE3" w:rsidP="00FF0EE3">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7F0C360C" w14:textId="77777777" w:rsidR="00FF0EE3" w:rsidRDefault="00FF0EE3" w:rsidP="00FF0E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1º.- Los establecimientos del área de Educación Especial, de todos los escalafones, tendrán como una de sus acciones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fundamentales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comunidad,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orientación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apoyo para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integración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niños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 jóvenes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necesidades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educativas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especiales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comunes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niveles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modalidades.</w:t>
      </w:r>
    </w:p>
    <w:p w14:paraId="7228472F" w14:textId="77777777" w:rsidR="00FF0EE3" w:rsidRDefault="00FF0EE3" w:rsidP="00FF0EE3">
      <w:pPr>
        <w:widowControl w:val="0"/>
        <w:autoSpaceDE w:val="0"/>
        <w:autoSpaceDN w:val="0"/>
        <w:adjustRightInd w:val="0"/>
        <w:spacing w:after="0" w:line="240" w:lineRule="auto"/>
        <w:ind w:right="-1"/>
        <w:rPr>
          <w:rFonts w:ascii="Times New Roman" w:hAnsi="Times New Roman" w:cs="Times New Roman"/>
          <w:kern w:val="1"/>
          <w:sz w:val="19"/>
          <w:szCs w:val="19"/>
          <w:lang w:val="es-ES"/>
        </w:rPr>
      </w:pPr>
      <w:bookmarkStart w:id="0" w:name="_GoBack"/>
      <w:bookmarkEnd w:id="0"/>
    </w:p>
    <w:p w14:paraId="0E3FD921" w14:textId="77777777" w:rsidR="00FF0EE3" w:rsidRDefault="00FF0EE3" w:rsidP="00FF0E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2º.- El personal de conducción de las Escuelas del Área de Educación Especial, de común acuerdo con los docentes y personal de gabinetes, organizará en cada escuela un equipo de integración, para atender las cuestiones que se deriven de este servicio e interactuar con los equipos de otras escuelas, tanto del área de Educación Especial como de otras áreas en todos los niveles y modalidades.</w:t>
      </w:r>
    </w:p>
    <w:p w14:paraId="42796EA0" w14:textId="77777777" w:rsidR="00FF0EE3" w:rsidRDefault="00FF0EE3" w:rsidP="00FF0EE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795CD56" w14:textId="77777777" w:rsidR="00FF0EE3" w:rsidRDefault="00FF0EE3" w:rsidP="00FF0E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3º.- El personal interviniente establecerá espacios de reflexión cuyo propósito será elaborar los fundamentos generales y el esquema de intervención para la utilización, en cada caso, del recurso psicopedagógico que la integración educativa demande.</w:t>
      </w:r>
    </w:p>
    <w:p w14:paraId="58F33495" w14:textId="77777777" w:rsidR="00FF0EE3" w:rsidRDefault="00FF0EE3" w:rsidP="00FF0E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53517E4" w14:textId="77777777" w:rsidR="00FF0EE3" w:rsidRDefault="00FF0EE3" w:rsidP="00FF0E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4º.- La elección de la estrategia de intervención, que se desprende de las distintas modalidades de integración que se conocen teóricamente, será producto de la reflexión interdisciplinaria, de modo de adecuarlo a las necesidades de cada niño y su entorno, en su singularidad y según las condiciones del contexto.</w:t>
      </w:r>
    </w:p>
    <w:p w14:paraId="60E23E8C" w14:textId="77777777" w:rsidR="00FF0EE3" w:rsidRDefault="00FF0EE3" w:rsidP="00FF0E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2866DF4" w14:textId="77777777" w:rsidR="00FF0EE3" w:rsidRDefault="00FF0EE3" w:rsidP="00FF0E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5º.-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casos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desempeñen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cumpliendo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funciones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obrar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 acta suscripta por todos los intervinientes que se explicite los acuerdos pedagógicos, selección de estrategias, líneas de acción e intervención en cada</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caso.</w:t>
      </w:r>
    </w:p>
    <w:p w14:paraId="5A351576" w14:textId="77777777" w:rsidR="00FF0EE3" w:rsidRDefault="00FF0EE3" w:rsidP="00FF0EE3">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1853851" w14:textId="77777777" w:rsidR="00FF0EE3" w:rsidRDefault="00FF0EE3" w:rsidP="00FF0E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 Como corolario a lo expuesto se tendrá en cuenta que “las estrategias de intervención de cada una de las Áreas, deben ser relacionadas atendiendo la factibilidad de la integración y los acuerdos y articulaciones entre Áreas, Supervisiones, Equipos Directivos y Docentes involucrados que respondan y garanticen la mejor integración para cada alumno” Art. 3º Disposición Nº 30/DGDE/97.-</w:t>
      </w:r>
    </w:p>
    <w:p w14:paraId="2ECE5D35" w14:textId="77777777" w:rsidR="00FF0EE3" w:rsidRDefault="00FF0EE3" w:rsidP="00FF0E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DDA95AB" w14:textId="77777777" w:rsidR="00FF0EE3" w:rsidRDefault="00FF0EE3" w:rsidP="00FF0E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5.- La consolidación de estas estrategias, favorece sin duda los intercambios entre docentes, lo cual los dignifica en la profesionalización del rol, sea cual fuere el cargo en que se desempeñen.</w:t>
      </w:r>
    </w:p>
    <w:p w14:paraId="05AC8BAE" w14:textId="77777777" w:rsidR="00FF0EE3" w:rsidRDefault="00FF0EE3" w:rsidP="00FF0E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7773B6C" w14:textId="77777777" w:rsidR="00FF0EE3" w:rsidRDefault="00FF0EE3" w:rsidP="00FF0E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6.- Cada Área educativa determinará los resultados de la integración para lo cual efectuará los seguimientos en forma articulada. En el convencimiento que la articulación entre todas las áreas del sistema, es el eje fundamental para fortalecer la integración del mismo, sólo integraremos quienes podemos integrarnos.</w:t>
      </w:r>
    </w:p>
    <w:p w14:paraId="6CDB0543" w14:textId="39F7095A" w:rsidR="00592F1B" w:rsidRPr="00AC3BA6" w:rsidRDefault="00592F1B" w:rsidP="00FF0EE3">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F81552"/>
    <w:rsid w:val="00FF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4796</Characters>
  <Application>Microsoft Macintosh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2021-05-27T20:11:00Z</dcterms:created>
  <dcterms:modified xsi:type="dcterms:W3CDTF">2021-05-27T20:11:00Z</dcterms:modified>
</cp:coreProperties>
</file>