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F2625" w14:textId="77777777" w:rsidR="00AC1BF0" w:rsidRDefault="00AC1BF0" w:rsidP="00AC1BF0">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2A471D7A" w14:textId="77777777" w:rsidR="00AC1BF0" w:rsidRDefault="00AC1BF0" w:rsidP="00AC1BF0">
      <w:pPr>
        <w:widowControl w:val="0"/>
        <w:autoSpaceDE w:val="0"/>
        <w:autoSpaceDN w:val="0"/>
        <w:adjustRightInd w:val="0"/>
        <w:spacing w:after="0" w:line="20" w:lineRule="exact"/>
        <w:ind w:right="-1"/>
        <w:rPr>
          <w:rFonts w:ascii="Times New Roman" w:hAnsi="Times New Roman" w:cs="Times New Roman"/>
          <w:sz w:val="2"/>
          <w:szCs w:val="2"/>
          <w:lang w:val="es-ES"/>
        </w:rPr>
      </w:pPr>
    </w:p>
    <w:p w14:paraId="0542A877"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9459A38"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sz w:val="15"/>
          <w:szCs w:val="15"/>
          <w:lang w:val="es-ES"/>
        </w:rPr>
      </w:pPr>
    </w:p>
    <w:p w14:paraId="4349DCF3" w14:textId="77777777" w:rsidR="00AC1BF0" w:rsidRDefault="00AC1BF0" w:rsidP="00AC1BF0">
      <w:pPr>
        <w:widowControl w:val="0"/>
        <w:autoSpaceDE w:val="0"/>
        <w:autoSpaceDN w:val="0"/>
        <w:adjustRightInd w:val="0"/>
        <w:spacing w:before="99"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TOPE INDEMNIZATORIO CORRESPONDIENTE PARA LOS EMPLEADOS </w:t>
      </w:r>
    </w:p>
    <w:p w14:paraId="2E3A5101" w14:textId="03AE27E1" w:rsidR="00AC1BF0" w:rsidRDefault="00AC1BF0" w:rsidP="00AC1BF0">
      <w:pPr>
        <w:widowControl w:val="0"/>
        <w:autoSpaceDE w:val="0"/>
        <w:autoSpaceDN w:val="0"/>
        <w:adjustRightInd w:val="0"/>
        <w:spacing w:before="99"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COMPRENDIDOS EN EL CONVENIO COLECTIVO DE TRABAJO 88/90</w:t>
      </w:r>
    </w:p>
    <w:p w14:paraId="153400CE" w14:textId="77777777" w:rsidR="00AC1BF0" w:rsidRDefault="00AC1BF0" w:rsidP="00AC1BF0">
      <w:pPr>
        <w:widowControl w:val="0"/>
        <w:autoSpaceDE w:val="0"/>
        <w:autoSpaceDN w:val="0"/>
        <w:adjustRightInd w:val="0"/>
        <w:spacing w:before="177" w:after="9"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SECRETARIA DE TRABAJO </w:t>
      </w:r>
    </w:p>
    <w:p w14:paraId="0E42541B" w14:textId="070F9B88" w:rsidR="00AC1BF0" w:rsidRPr="00AC1BF0" w:rsidRDefault="00AC1BF0" w:rsidP="00AC1BF0">
      <w:pPr>
        <w:widowControl w:val="0"/>
        <w:autoSpaceDE w:val="0"/>
        <w:autoSpaceDN w:val="0"/>
        <w:adjustRightInd w:val="0"/>
        <w:spacing w:before="177" w:after="9"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596 /</w:t>
      </w:r>
      <w:r>
        <w:rPr>
          <w:rFonts w:ascii="Trebuchet MS" w:hAnsi="Trebuchet MS" w:cs="Trebuchet MS"/>
          <w:b/>
          <w:bCs/>
          <w:spacing w:val="-38"/>
          <w:kern w:val="1"/>
          <w:sz w:val="19"/>
          <w:szCs w:val="19"/>
          <w:lang w:val="es-ES"/>
        </w:rPr>
        <w:t xml:space="preserve"> </w:t>
      </w:r>
      <w:r>
        <w:rPr>
          <w:rFonts w:ascii="Trebuchet MS" w:hAnsi="Trebuchet MS" w:cs="Trebuchet MS"/>
          <w:b/>
          <w:bCs/>
          <w:kern w:val="1"/>
          <w:sz w:val="19"/>
          <w:szCs w:val="19"/>
          <w:lang w:val="es-ES"/>
        </w:rPr>
        <w:t>2009</w:t>
      </w:r>
    </w:p>
    <w:p w14:paraId="21A140E4" w14:textId="7029E56A" w:rsidR="00AC1BF0" w:rsidRDefault="00AC1BF0" w:rsidP="00AC1BF0">
      <w:pPr>
        <w:widowControl w:val="0"/>
        <w:autoSpaceDE w:val="0"/>
        <w:autoSpaceDN w:val="0"/>
        <w:adjustRightInd w:val="0"/>
        <w:spacing w:after="0" w:line="240" w:lineRule="auto"/>
        <w:ind w:right="-1"/>
        <w:jc w:val="center"/>
        <w:rPr>
          <w:rFonts w:ascii="Times New Roman" w:hAnsi="Times New Roman" w:cs="Times New Roman"/>
          <w:kern w:val="1"/>
          <w:sz w:val="20"/>
          <w:szCs w:val="20"/>
          <w:lang w:val="es-ES"/>
        </w:rPr>
      </w:pPr>
      <w:r>
        <w:rPr>
          <w:noProof/>
          <w:sz w:val="20"/>
          <w:lang w:val="es-ES" w:eastAsia="es-ES"/>
        </w:rPr>
        <mc:AlternateContent>
          <mc:Choice Requires="wps">
            <w:drawing>
              <wp:inline distT="0" distB="0" distL="0" distR="0" wp14:anchorId="28F54845" wp14:editId="09A3E8E2">
                <wp:extent cx="2687955" cy="180975"/>
                <wp:effectExtent l="0" t="0" r="1714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AAC2C6" w14:textId="77777777" w:rsidR="00AC1BF0" w:rsidRDefault="00AC1BF0" w:rsidP="00AC1BF0">
                            <w:pPr>
                              <w:spacing w:before="9"/>
                              <w:ind w:left="217"/>
                              <w:rPr>
                                <w:b/>
                                <w:sz w:val="19"/>
                              </w:rPr>
                            </w:pPr>
                            <w:r>
                              <w:rPr>
                                <w:b/>
                                <w:sz w:val="19"/>
                              </w:rPr>
                              <w:t>MODIFICA A LA RESOLUCIÓN N° 1317/2008</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11.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moIIMCAAAZBQAADgAAAGRycy9lMm9Eb2MueG1srFTbbtswDH0fsH8Q9J7azpLUMeIUXS7DgO4C&#10;tPsARZJjYbKkSUrsrti/j5LjNF1fhmF+kGmLPOIhD7W46RqJjtw6oVWJs6sUI66oZkLtS/ztYTvK&#10;MXKeKEakVrzEj9zhm+XbN4vWFHysay0ZtwhAlCtaU+Lae1MkiaM1b4i70oYr2Ky0bYiHT7tPmCUt&#10;oDcyGafpLGm1ZcZqyp2Dv+t+Ey8jflVx6r9UleMeyRJDbj6uNq67sCbLBSn2lpha0FMa5B+yaIhQ&#10;cOgZak08QQcrXkE1glrtdOWvqG4SXVWC8sgB2GTpH2zua2J45ALFceZcJvf/YOnn41eLBIPeYaRI&#10;Ay164J1H73WHxqE6rXEFON0bcPMd/A6egakzd5p+d0jpVU3Unt9aq9uaEwbZZSEyuQjtcVwA2bWf&#10;NINjyMHrCNRVtgmAUAwE6NClx3NnQioUfo5n+fV8OsWIwl6Wp/PraTyCFEO0sc5/4LpBwSixhc5H&#10;dHK8cz5kQ4rBJRym9FZIGbsvFWoD6DjPe2JaChZ2I0u7362kRUcSBBSf08Hu0i1Ar4mre7+4FdxI&#10;0QgP+paiKXF+jiZFqNNGsejiiZC9DTlKFaKANmR9snodPc3T+Sbf5JPRZDzbjCYpY6Pb7Woymm2z&#10;6+n63Xq1Wme/AoFsUtSCMa4Ch0HT2eTvNHOarl6NZ1W/4OouS7KNz+uSJC/TiPUHVsM7sosCCZro&#10;1eG7XQcFCarZafYIUrG6n1e4X8Cotf2JUQuzWmL340Asx0h+VCC3MNiDYQdjNxhEUQgtsceoN1e+&#10;vwAOxop9Dci9oJW+BUlWIqrlOYuTkGH+YvKnuyIM+OV39Hq+0Za/AQAA//8DAFBLAwQUAAYACAAA&#10;ACEAHDAE+N4AAAAEAQAADwAAAGRycy9kb3ducmV2LnhtbEyPQU/CQBCF7yb8h82QeJMtLSLUbolR&#10;8EA8KEr0uHTHtqE7W7sD1H/v4kUvk7y8l/e+yRa9bcQRO187UjAeRSCQCmdqKhW8va6uZiA8azK6&#10;cYQKvtHDIh9cZDo17kQveNxwKUIJ+VQrqJjbVEpfVGi1H7kWKXifrrOag+xKaTp9CuW2kXEUTaXV&#10;NYWFSrd4X2Gx3xysgv37x3w7/jLJ05aX89XkYXrz/LhW6nLY392CYOz5Lwxn/IAOeWDauQMZLxoF&#10;4RH+vcGbxEkCYqcgnl2DzDP5Hz7/AQAA//8DAFBLAQItABQABgAIAAAAIQDkmcPA+wAAAOEBAAAT&#10;AAAAAAAAAAAAAAAAAAAAAABbQ29udGVudF9UeXBlc10ueG1sUEsBAi0AFAAGAAgAAAAhACOyauHX&#10;AAAAlAEAAAsAAAAAAAAAAAAAAAAALAEAAF9yZWxzLy5yZWxzUEsBAi0AFAAGAAgAAAAhAL4JqCCD&#10;AgAAGQUAAA4AAAAAAAAAAAAAAAAALAIAAGRycy9lMm9Eb2MueG1sUEsBAi0AFAAGAAgAAAAhABww&#10;BPjeAAAABAEAAA8AAAAAAAAAAAAAAAAA2wQAAGRycy9kb3ducmV2LnhtbFBLBQYAAAAABAAEAPMA&#10;AADmBQAAAAA=&#10;" filled="f" strokeweight="1.44pt">
                <v:textbox inset="0,0,0,0">
                  <w:txbxContent>
                    <w:p w14:paraId="58AAC2C6" w14:textId="77777777" w:rsidR="00AC1BF0" w:rsidRDefault="00AC1BF0" w:rsidP="00AC1BF0">
                      <w:pPr>
                        <w:spacing w:before="9"/>
                        <w:ind w:left="217"/>
                        <w:rPr>
                          <w:b/>
                          <w:sz w:val="19"/>
                        </w:rPr>
                      </w:pPr>
                      <w:r>
                        <w:rPr>
                          <w:b/>
                          <w:sz w:val="19"/>
                        </w:rPr>
                        <w:t>MODIFICA A LA RESOLUCIÓN N° 1317/2008</w:t>
                      </w:r>
                    </w:p>
                  </w:txbxContent>
                </v:textbox>
                <w10:anchorlock/>
              </v:shape>
            </w:pict>
          </mc:Fallback>
        </mc:AlternateContent>
      </w:r>
    </w:p>
    <w:p w14:paraId="42431D54" w14:textId="6BF549BD"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sz w:val="14"/>
          <w:szCs w:val="14"/>
          <w:lang w:val="es-ES"/>
        </w:rPr>
      </w:pPr>
    </w:p>
    <w:p w14:paraId="23C909B1"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b/>
          <w:bCs/>
          <w:kern w:val="1"/>
          <w:sz w:val="6"/>
          <w:szCs w:val="6"/>
          <w:lang w:val="es-ES"/>
        </w:rPr>
      </w:pPr>
    </w:p>
    <w:p w14:paraId="7CCE68D3" w14:textId="3C1ABA6B" w:rsidR="00AC1BF0" w:rsidRDefault="00AC1BF0" w:rsidP="00AC1BF0">
      <w:pPr>
        <w:widowControl w:val="0"/>
        <w:autoSpaceDE w:val="0"/>
        <w:autoSpaceDN w:val="0"/>
        <w:adjustRightInd w:val="0"/>
        <w:spacing w:before="98" w:after="0" w:line="240" w:lineRule="auto"/>
        <w:ind w:right="-1"/>
        <w:rPr>
          <w:rFonts w:ascii="Trebuchet MS" w:hAnsi="Trebuchet MS" w:cs="Trebuchet MS"/>
          <w:b/>
          <w:bCs/>
          <w:kern w:val="1"/>
          <w:sz w:val="19"/>
          <w:szCs w:val="19"/>
          <w:lang w:val="es-ES"/>
        </w:rPr>
      </w:pPr>
      <w:r>
        <w:rPr>
          <w:rFonts w:ascii="Trebuchet MS" w:hAnsi="Trebuchet MS" w:cs="Trebuchet MS"/>
          <w:b/>
          <w:bCs/>
          <w:noProof/>
          <w:kern w:val="1"/>
          <w:sz w:val="19"/>
          <w:szCs w:val="19"/>
          <w:lang w:val="es-ES" w:eastAsia="es-ES"/>
        </w:rPr>
        <mc:AlternateContent>
          <mc:Choice Requires="wps">
            <w:drawing>
              <wp:anchor distT="0" distB="0" distL="0" distR="0" simplePos="0" relativeHeight="251658240" behindDoc="1" locked="0" layoutInCell="1" allowOverlap="1" wp14:editId="686E5DEE">
                <wp:simplePos x="0" y="0"/>
                <wp:positionH relativeFrom="page">
                  <wp:posOffset>2116455</wp:posOffset>
                </wp:positionH>
                <wp:positionV relativeFrom="paragraph">
                  <wp:posOffset>20955</wp:posOffset>
                </wp:positionV>
                <wp:extent cx="3366135" cy="180340"/>
                <wp:effectExtent l="0" t="0" r="37465" b="22860"/>
                <wp:wrapThrough wrapText="bothSides">
                  <wp:wrapPolygon edited="0">
                    <wp:start x="0" y="0"/>
                    <wp:lineTo x="0" y="21296"/>
                    <wp:lineTo x="21677" y="21296"/>
                    <wp:lineTo x="21677"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340"/>
                        </a:xfrm>
                        <a:prstGeom prst="rect">
                          <a:avLst/>
                        </a:prstGeom>
                        <a:solidFill>
                          <a:srgbClr val="E6E6E6"/>
                        </a:solidFill>
                        <a:ln w="18288">
                          <a:solidFill>
                            <a:srgbClr val="000000"/>
                          </a:solidFill>
                          <a:prstDash val="solid"/>
                          <a:miter lim="800000"/>
                          <a:headEnd/>
                          <a:tailEnd/>
                        </a:ln>
                      </wps:spPr>
                      <wps:txbx>
                        <w:txbxContent>
                          <w:p w14:paraId="61BB4E8F" w14:textId="77777777" w:rsidR="00AC1BF0" w:rsidRDefault="00AC1BF0">
                            <w:pPr>
                              <w:spacing w:before="8"/>
                              <w:ind w:left="566"/>
                              <w:rPr>
                                <w:b/>
                                <w:sz w:val="19"/>
                              </w:rPr>
                            </w:pPr>
                            <w:r>
                              <w:rPr>
                                <w:b/>
                                <w:sz w:val="19"/>
                              </w:rPr>
                              <w:t>MODIFICADA POR LA RESOLUCIÓN N° 556/2010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166.65pt;margin-top:1.65pt;width:265.05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TNfDMCAABoBAAADgAAAGRycy9lMm9Eb2MueG1srFRRb9MwEH5H4j9YfqdJW6iqqOk02g0hDYY0&#10;+AFX22ksHJ+x3Sbj13N22m4a8IJIJOsc333+7ru7rK6GzrCj8kGjrfl0UnKmrECp7b7m377evlly&#10;FiJYCQatqvmjCvxq/frVqneVmmGLRirPCMSGqnc1b2N0VVEE0aoOwgSdsnTYoO8g0tbvC+mhJ/TO&#10;FLOyXBQ9euk8ChUCfd2Oh3yd8ZtGiXjfNEFFZmpO3GJefV53aS3WK6j2HlyrxYkG/AOLDrSlSy9Q&#10;W4jADl7/BtVp4TFgEycCuwKbRguVc6BspuWLbB5acCrnQuIEd5Ep/D9Y8fn4xTMtaz7jzEJHJdoc&#10;QHpkUrGohohslkTqXajI98GRdxze40DFzgkHd4fie2AWNy3Yvbr2HvtWgSSS0xRZPAsdcUIC2fWf&#10;UNJtcIiYgYbGd0lB0oQROhXr8VIg4sEEfZzPF4vp/B1ngs6my3L+NlewgOoc7XyIHxR2LBk199QA&#10;GR2OdyEmNlCdXdJlAY2Wt9qYvPH73cZ4dgRqlptFenMCL9yMZX26fbZcjgr8FaPMz58wEocthHa8&#10;K7NIblB1OtI8GN3VfHmJhioJemNldomgzWhTMsaeFE6ijvLGYTfkimb5k/o7lI8kucex/WlcyWjR&#10;/+Ssp9avefhxAK84Mx8tlS3NydnwZ2N3NsAKCq155Gw0N3Gcp4Pzet8S8tgYFq+ptI3Oqj+xONGl&#10;ds7FOI1empfn++z19INY/wIAAP//AwBQSwMEFAAGAAgAAAAhAGZngRrdAAAACAEAAA8AAABkcnMv&#10;ZG93bnJldi54bWxMj0FvwjAMhe9I+w+RJ+0GaWGCqmuKENMOO02jbNoxNF7bLXGqJkD59zMn5pOf&#10;3tPz52I9OitOOITOk4J0loBAqr3pqFGwr16mGYgQNRltPaGCCwZYl3eTQufGn+kdT7vYCC6hkGsF&#10;bYx9LmWoW3Q6zHyPxN63H5yOLIdGmkGfudxZOU+SpXS6I77Q6h63Lda/u6NTYKsmJquPn7fXbfU5&#10;7tNLsM9fmVIP9+PmCUTEMd7CcMVndCiZ6eCPZIKwChY8HL0uINjPlotHEAfW6QpkWcj/D5R/AAAA&#10;//8DAFBLAQItABQABgAIAAAAIQDkmcPA+wAAAOEBAAATAAAAAAAAAAAAAAAAAAAAAABbQ29udGVu&#10;dF9UeXBlc10ueG1sUEsBAi0AFAAGAAgAAAAhACOyauHXAAAAlAEAAAsAAAAAAAAAAAAAAAAALAEA&#10;AF9yZWxzLy5yZWxzUEsBAi0AFAAGAAgAAAAhAHlkzXwzAgAAaAQAAA4AAAAAAAAAAAAAAAAALAIA&#10;AGRycy9lMm9Eb2MueG1sUEsBAi0AFAAGAAgAAAAhAGZngRrdAAAACAEAAA8AAAAAAAAAAAAAAAAA&#10;iwQAAGRycy9kb3ducmV2LnhtbFBLBQYAAAAABAAEAPMAAACVBQAAAAA=&#10;" fillcolor="#e6e6e6" strokeweight="1.44pt">
                <v:textbox inset="0,0,0,0">
                  <w:txbxContent>
                    <w:p w14:paraId="61BB4E8F" w14:textId="77777777" w:rsidR="00AC1BF0" w:rsidRDefault="00AC1BF0">
                      <w:pPr>
                        <w:spacing w:before="8"/>
                        <w:ind w:left="566"/>
                        <w:rPr>
                          <w:b/>
                          <w:sz w:val="19"/>
                        </w:rPr>
                      </w:pPr>
                      <w:r>
                        <w:rPr>
                          <w:b/>
                          <w:sz w:val="19"/>
                        </w:rPr>
                        <w:t>MODIFICADA POR LA RESOLUCIÓN N° 556/2010</w:t>
                      </w:r>
                    </w:p>
                  </w:txbxContent>
                </v:textbox>
                <w10:wrap type="through" anchorx="page"/>
              </v:shape>
            </w:pict>
          </mc:Fallback>
        </mc:AlternateContent>
      </w:r>
    </w:p>
    <w:p w14:paraId="6D16631A" w14:textId="77777777" w:rsidR="00AC1BF0" w:rsidRDefault="00AC1BF0" w:rsidP="00AC1BF0">
      <w:pPr>
        <w:widowControl w:val="0"/>
        <w:autoSpaceDE w:val="0"/>
        <w:autoSpaceDN w:val="0"/>
        <w:adjustRightInd w:val="0"/>
        <w:spacing w:before="98" w:after="0" w:line="240" w:lineRule="auto"/>
        <w:ind w:right="-1"/>
        <w:rPr>
          <w:rFonts w:ascii="Trebuchet MS" w:hAnsi="Trebuchet MS" w:cs="Trebuchet MS"/>
          <w:b/>
          <w:bCs/>
          <w:kern w:val="1"/>
          <w:sz w:val="19"/>
          <w:szCs w:val="19"/>
          <w:lang w:val="es-ES"/>
        </w:rPr>
      </w:pPr>
    </w:p>
    <w:p w14:paraId="72858D89" w14:textId="77777777" w:rsidR="00AC1BF0" w:rsidRDefault="00AC1BF0" w:rsidP="00AC1BF0">
      <w:pPr>
        <w:widowControl w:val="0"/>
        <w:autoSpaceDE w:val="0"/>
        <w:autoSpaceDN w:val="0"/>
        <w:adjustRightInd w:val="0"/>
        <w:spacing w:before="98" w:after="0" w:line="240" w:lineRule="auto"/>
        <w:ind w:right="-1"/>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VISTO:</w:t>
      </w:r>
    </w:p>
    <w:p w14:paraId="0893B07E"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4E67EA8" w14:textId="77777777" w:rsidR="00AC1BF0" w:rsidRDefault="00AC1BF0" w:rsidP="00AC1BF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expediente 1.302.168/08 del Registro del Ministerio de Trabajo, Empleo y Seguridad Social, la ley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 la ley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la resolución de la Secretaría de Trabajo 343 de fecha 19 de marzo de 2009 y,</w:t>
      </w:r>
    </w:p>
    <w:p w14:paraId="3995C54E" w14:textId="77777777" w:rsidR="00AC1BF0" w:rsidRDefault="00AC1BF0" w:rsidP="00AC1BF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1BF05BF" w14:textId="77777777" w:rsidR="00AC1BF0" w:rsidRDefault="00AC1BF0" w:rsidP="00AC1BF0">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584C4401" w14:textId="77777777" w:rsidR="00AC1BF0" w:rsidRDefault="00AC1BF0" w:rsidP="00AC1BF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DB7FDE7"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foja 6 del expediente 1.302.168/08, obra la escala salarial pactada entre el Sindicato Argentino de Empleados y Obreros de la Enseñanza Privada, por la parte sindical y el Consejo Superior de Educación Católica, por la parte empresarial, en el marco del convenio colectivo de trabajo 88/1990, conforme lo dispuesto en la ley de negociación colectiva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169475E4" w14:textId="77777777" w:rsidR="00AC1BF0" w:rsidRDefault="00AC1BF0" w:rsidP="00AC1BF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87B5FC1" w14:textId="77777777" w:rsidR="00AC1BF0" w:rsidRDefault="00AC1BF0" w:rsidP="00AC1BF0">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escala precitada forma parte del Acuerdo homologado por resolución (ST) 343/2009 y registrado bajo el número 266/09, conforme surge de fojas 27/29 y 32, respectivamente.</w:t>
      </w:r>
    </w:p>
    <w:p w14:paraId="1015443C" w14:textId="77777777" w:rsidR="00AC1BF0" w:rsidRDefault="00AC1BF0" w:rsidP="00AC1BF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AE77276"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fojas 40/42, obra el informe técnico elaborado por la Dirección de Regulaciones del Trabajo dependiente de la Secretaría de Trabajo por el que se indican las constancias y se explicitan los criterios adoptados para el cálculo de la base promedio mensual y del tope indemnizatorio objeto de la presente, cuyos términos se comparten en esta Instancia y al cual se remite en orden a la brevedad.</w:t>
      </w:r>
    </w:p>
    <w:p w14:paraId="3C1EE957"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8EA8B98"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segundo párrafo del artículo 245 de la ley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xml:space="preserve"> 1976) y sus modificatorias, le imponen al Ministerio de Trabajo, Empleo y Seguridad Social la obligación de fijar y publicar los promedios de las remuneraciones y los topes ¡</w:t>
      </w:r>
      <w:proofErr w:type="spellStart"/>
      <w:r>
        <w:rPr>
          <w:rFonts w:ascii="Trebuchet MS" w:hAnsi="Trebuchet MS" w:cs="Trebuchet MS"/>
          <w:kern w:val="1"/>
          <w:sz w:val="19"/>
          <w:szCs w:val="19"/>
          <w:lang w:val="es-ES"/>
        </w:rPr>
        <w:t>ndemnizatorios</w:t>
      </w:r>
      <w:proofErr w:type="spellEnd"/>
      <w:r>
        <w:rPr>
          <w:rFonts w:ascii="Trebuchet MS" w:hAnsi="Trebuchet MS" w:cs="Trebuchet MS"/>
          <w:kern w:val="1"/>
          <w:sz w:val="19"/>
          <w:szCs w:val="19"/>
          <w:lang w:val="es-ES"/>
        </w:rPr>
        <w:t xml:space="preserve"> aplicables al cálculo de la indemnización que les corresponde a los trabajadores en casos de extinción injustificada del contrato de trabajo.</w:t>
      </w:r>
    </w:p>
    <w:p w14:paraId="28FA09A8" w14:textId="77777777" w:rsidR="00AC1BF0" w:rsidRDefault="00AC1BF0" w:rsidP="00AC1BF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B5137CB"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 conformidad con la citada norma legal, el tope indemnizatorio que se fija por la presente, se determinó triplicando el importe promedio mensual de las remuneraciones de la escala salarial y sus respectivos rubros conexos considerados.</w:t>
      </w:r>
    </w:p>
    <w:p w14:paraId="15D61E59" w14:textId="77777777" w:rsidR="00AC1BF0" w:rsidRDefault="00AC1BF0" w:rsidP="00AC1BF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256E744"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la presente se dicta en ejercicio de las atribuciones conferidas en el segundo párrafo </w:t>
      </w:r>
      <w:proofErr w:type="spellStart"/>
      <w:r>
        <w:rPr>
          <w:rFonts w:ascii="Trebuchet MS" w:hAnsi="Trebuchet MS" w:cs="Trebuchet MS"/>
          <w:kern w:val="1"/>
          <w:sz w:val="19"/>
          <w:szCs w:val="19"/>
          <w:lang w:val="es-ES"/>
        </w:rPr>
        <w:t>dei</w:t>
      </w:r>
      <w:proofErr w:type="spellEnd"/>
      <w:r>
        <w:rPr>
          <w:rFonts w:ascii="Trebuchet MS" w:hAnsi="Trebuchet MS" w:cs="Trebuchet MS"/>
          <w:kern w:val="1"/>
          <w:sz w:val="19"/>
          <w:szCs w:val="19"/>
          <w:lang w:val="es-ES"/>
        </w:rPr>
        <w:t xml:space="preserve"> artículo 245 de la ley de contrato de trabajo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en el decreto 357 del 21 de febrero de 2002, modificado por su similar número 628 del 13 de junio de 2005.</w:t>
      </w:r>
    </w:p>
    <w:p w14:paraId="6AF2F89D" w14:textId="77777777" w:rsidR="00AC1BF0" w:rsidRDefault="00AC1BF0" w:rsidP="00AC1BF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63881DF" w14:textId="77777777" w:rsidR="00AC1BF0" w:rsidRDefault="00AC1BF0" w:rsidP="00AC1BF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40DAEB9A" w14:textId="77777777" w:rsidR="00AC1BF0" w:rsidRDefault="00AC1BF0" w:rsidP="00AC1BF0">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SECRETARÍA DE TRABAJO RESUELVE:</w:t>
      </w:r>
    </w:p>
    <w:p w14:paraId="298D5780" w14:textId="77777777" w:rsidR="00AC1BF0" w:rsidRDefault="00AC1BF0" w:rsidP="00AC1BF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E629A33" w14:textId="77777777" w:rsidR="00AC1BF0" w:rsidRDefault="00AC1BF0" w:rsidP="00AC1BF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Fíjase</w:t>
      </w:r>
      <w:proofErr w:type="spellEnd"/>
      <w:r>
        <w:rPr>
          <w:rFonts w:ascii="Trebuchet MS" w:hAnsi="Trebuchet MS" w:cs="Trebuchet MS"/>
          <w:kern w:val="1"/>
          <w:sz w:val="19"/>
          <w:szCs w:val="19"/>
          <w:lang w:val="es-ES"/>
        </w:rPr>
        <w:t xml:space="preserve"> el importe promedio de las remuneraciones y el tope indemnizatorio correspondiente al Acuerdo homologado por resolución de </w:t>
      </w:r>
      <w:proofErr w:type="spellStart"/>
      <w:r>
        <w:rPr>
          <w:rFonts w:ascii="Trebuchet MS" w:hAnsi="Trebuchet MS" w:cs="Trebuchet MS"/>
          <w:kern w:val="1"/>
          <w:sz w:val="19"/>
          <w:szCs w:val="19"/>
          <w:lang w:val="es-ES"/>
        </w:rPr>
        <w:t>ia</w:t>
      </w:r>
      <w:proofErr w:type="spellEnd"/>
      <w:r>
        <w:rPr>
          <w:rFonts w:ascii="Trebuchet MS" w:hAnsi="Trebuchet MS" w:cs="Trebuchet MS"/>
          <w:kern w:val="1"/>
          <w:sz w:val="19"/>
          <w:szCs w:val="19"/>
          <w:lang w:val="es-ES"/>
        </w:rPr>
        <w:t xml:space="preserve"> Secretaría de Trabajo 343 de fecha 19 de marzo de 2009 y registrado bajo el número 266/09 suscripto entre el Sindicato Argentino de Empleados y Obreros de la Enseñanza Privada, por la parte sindical y el Consejo Superior de Educación Católica, por la parte empresarial, conforme al detalle que, como Anexo, forma parte integrante de la presente.</w:t>
      </w:r>
    </w:p>
    <w:p w14:paraId="17C2620F" w14:textId="77777777" w:rsidR="00AC1BF0" w:rsidRDefault="00AC1BF0" w:rsidP="00AC1BF0">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Regístrese la presente resolución en el Departamento Despacho de la Dirección de Despacho, Mesa de </w:t>
      </w:r>
      <w:r>
        <w:rPr>
          <w:rFonts w:ascii="Trebuchet MS" w:hAnsi="Trebuchet MS" w:cs="Trebuchet MS"/>
          <w:kern w:val="1"/>
          <w:sz w:val="19"/>
          <w:szCs w:val="19"/>
          <w:lang w:val="es-ES"/>
        </w:rPr>
        <w:lastRenderedPageBreak/>
        <w:t>Entradas y Archivo dependiente de la Subsecretaría de Coordinación. Cumplido ello, pase a la Dirección Nacional del Relaciones del Trabajo a fin de que el Departamento Coordinación registre el importe promedio de las remuneraciones y del tope indemnizatorio fijado bajo la presente resolución.</w:t>
      </w:r>
    </w:p>
    <w:p w14:paraId="17389086"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kern w:val="1"/>
          <w:lang w:val="es-ES"/>
        </w:rPr>
      </w:pPr>
    </w:p>
    <w:p w14:paraId="700D2B8F" w14:textId="77777777" w:rsidR="00AC1BF0" w:rsidRDefault="00AC1BF0" w:rsidP="00AC1BF0">
      <w:pPr>
        <w:widowControl w:val="0"/>
        <w:autoSpaceDE w:val="0"/>
        <w:autoSpaceDN w:val="0"/>
        <w:adjustRightInd w:val="0"/>
        <w:spacing w:before="180"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Remítase copia debidamente autenticada al Departamento Biblioteca para su difusión.</w:t>
      </w:r>
    </w:p>
    <w:p w14:paraId="444D06B5" w14:textId="77777777" w:rsidR="00AC1BF0" w:rsidRDefault="00AC1BF0" w:rsidP="00AC1BF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A072E09" w14:textId="77777777" w:rsidR="00AC1BF0" w:rsidRDefault="00AC1BF0" w:rsidP="00AC1BF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Gírese a la Dirección de Negociación Colectiva para la notificación a las partes signatarias, posteriormente procédase a la guarda del presente legajo.</w:t>
      </w:r>
    </w:p>
    <w:p w14:paraId="607DF8C4"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BBD6DD0" w14:textId="77777777" w:rsidR="00AC1BF0" w:rsidRDefault="00AC1BF0" w:rsidP="00AC1BF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Hágase saber que en el supuesto que el Ministerio de Trabajo, Empleo y Seguridad Social no efectúe la publicación de carácter gratuita del importe promedio de las remuneraciones y del tope indemnizatorio fijado por la presente, las partes deberán proceder de acuerdo a lo establecido en el artículo 59 de la ley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0D2AB303" w14:textId="77777777" w:rsidR="00AC1BF0" w:rsidRDefault="00AC1BF0" w:rsidP="00AC1BF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A222387" w14:textId="77777777" w:rsidR="00AC1BF0" w:rsidRDefault="00AC1BF0" w:rsidP="00AC1BF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De forma.</w:t>
      </w:r>
    </w:p>
    <w:p w14:paraId="4AB9B6AD" w14:textId="77777777" w:rsidR="00AC1BF0" w:rsidRDefault="00AC1BF0" w:rsidP="00AC1BF0">
      <w:pPr>
        <w:widowControl w:val="0"/>
        <w:autoSpaceDE w:val="0"/>
        <w:autoSpaceDN w:val="0"/>
        <w:adjustRightInd w:val="0"/>
        <w:spacing w:after="0" w:line="219" w:lineRule="exact"/>
        <w:ind w:right="-1"/>
        <w:jc w:val="center"/>
        <w:rPr>
          <w:rFonts w:ascii="Times New Roman" w:hAnsi="Times New Roman" w:cs="Times New Roman"/>
          <w:b/>
          <w:bCs/>
          <w:kern w:val="1"/>
          <w:sz w:val="19"/>
          <w:szCs w:val="19"/>
          <w:lang w:val="es-ES"/>
        </w:rPr>
      </w:pPr>
    </w:p>
    <w:p w14:paraId="51A1F35F"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4D026C43" w14:textId="77777777" w:rsidR="00AC1BF0" w:rsidRDefault="00AC1BF0" w:rsidP="00AC1BF0">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w:t>
      </w:r>
    </w:p>
    <w:p w14:paraId="71001DA1" w14:textId="77777777" w:rsidR="00AC1BF0" w:rsidRDefault="00AC1BF0" w:rsidP="00AC1BF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2717"/>
        <w:gridCol w:w="1317"/>
        <w:gridCol w:w="1318"/>
        <w:gridCol w:w="1637"/>
      </w:tblGrid>
      <w:tr w:rsidR="00AC1BF0" w14:paraId="01CAA4C7" w14:textId="77777777" w:rsidTr="00AC1BF0">
        <w:tblPrEx>
          <w:tblCellMar>
            <w:top w:w="0" w:type="dxa"/>
            <w:bottom w:w="0" w:type="dxa"/>
          </w:tblCellMar>
        </w:tblPrEx>
        <w:trPr>
          <w:jc w:val="center"/>
        </w:trPr>
        <w:tc>
          <w:tcPr>
            <w:tcW w:w="271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2C7D9AC8" w14:textId="77777777" w:rsidR="00AC1BF0" w:rsidRDefault="00AC1BF0" w:rsidP="00AC1BF0">
            <w:pPr>
              <w:widowControl w:val="0"/>
              <w:autoSpaceDE w:val="0"/>
              <w:autoSpaceDN w:val="0"/>
              <w:adjustRightInd w:val="0"/>
              <w:spacing w:before="52"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PARTES SIGNATARIAS</w:t>
            </w:r>
          </w:p>
        </w:tc>
        <w:tc>
          <w:tcPr>
            <w:tcW w:w="131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69A7B6B5" w14:textId="77777777" w:rsidR="00AC1BF0" w:rsidRDefault="00AC1BF0" w:rsidP="00AC1BF0">
            <w:pPr>
              <w:widowControl w:val="0"/>
              <w:autoSpaceDE w:val="0"/>
              <w:autoSpaceDN w:val="0"/>
              <w:adjustRightInd w:val="0"/>
              <w:spacing w:before="54"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FECHA DE ENTRADA </w:t>
            </w:r>
            <w:r>
              <w:rPr>
                <w:rFonts w:ascii="Trebuchet MS" w:hAnsi="Trebuchet MS" w:cs="Trebuchet MS"/>
                <w:b/>
                <w:bCs/>
                <w:spacing w:val="-7"/>
                <w:kern w:val="1"/>
                <w:sz w:val="19"/>
                <w:szCs w:val="19"/>
                <w:lang w:val="es-ES"/>
              </w:rPr>
              <w:t xml:space="preserve">EN </w:t>
            </w:r>
            <w:r>
              <w:rPr>
                <w:rFonts w:ascii="Trebuchet MS" w:hAnsi="Trebuchet MS" w:cs="Trebuchet MS"/>
                <w:b/>
                <w:bCs/>
                <w:kern w:val="1"/>
                <w:sz w:val="19"/>
                <w:szCs w:val="19"/>
                <w:lang w:val="es-ES"/>
              </w:rPr>
              <w:t>VIGENCIA</w:t>
            </w:r>
          </w:p>
        </w:tc>
        <w:tc>
          <w:tcPr>
            <w:tcW w:w="1318"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6219259A" w14:textId="77777777" w:rsidR="00AC1BF0" w:rsidRDefault="00AC1BF0" w:rsidP="00AC1BF0">
            <w:pPr>
              <w:widowControl w:val="0"/>
              <w:autoSpaceDE w:val="0"/>
              <w:autoSpaceDN w:val="0"/>
              <w:adjustRightInd w:val="0"/>
              <w:spacing w:before="54"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BASE IMPONIBLE</w:t>
            </w:r>
          </w:p>
        </w:tc>
        <w:tc>
          <w:tcPr>
            <w:tcW w:w="1637" w:type="dxa"/>
            <w:tcBorders>
              <w:top w:val="single" w:sz="18" w:space="0" w:color="auto"/>
              <w:left w:val="single" w:sz="12" w:space="0" w:color="auto"/>
              <w:bottom w:val="single" w:sz="2" w:space="0" w:color="auto"/>
              <w:right w:val="single" w:sz="12" w:space="0" w:color="auto"/>
            </w:tcBorders>
            <w:shd w:val="clear" w:color="auto" w:fill="C0C0C0"/>
            <w:tcMar>
              <w:top w:w="100" w:type="nil"/>
              <w:right w:w="100" w:type="nil"/>
            </w:tcMar>
          </w:tcPr>
          <w:p w14:paraId="79C47BB4" w14:textId="77777777" w:rsidR="00AC1BF0" w:rsidRDefault="00AC1BF0" w:rsidP="00AC1BF0">
            <w:pPr>
              <w:widowControl w:val="0"/>
              <w:autoSpaceDE w:val="0"/>
              <w:autoSpaceDN w:val="0"/>
              <w:adjustRightInd w:val="0"/>
              <w:spacing w:before="54" w:after="0" w:line="237"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TOPE INDEMNIZATORIO</w:t>
            </w:r>
          </w:p>
        </w:tc>
      </w:tr>
      <w:tr w:rsidR="00AC1BF0" w14:paraId="2EF710D2" w14:textId="77777777" w:rsidTr="00AC1BF0">
        <w:tblPrEx>
          <w:tblBorders>
            <w:top w:val="none" w:sz="0" w:space="0" w:color="auto"/>
            <w:bottom w:val="single" w:sz="18" w:space="0" w:color="auto"/>
          </w:tblBorders>
          <w:tblCellMar>
            <w:top w:w="0" w:type="dxa"/>
            <w:bottom w:w="0" w:type="dxa"/>
          </w:tblCellMar>
        </w:tblPrEx>
        <w:trPr>
          <w:jc w:val="center"/>
        </w:trPr>
        <w:tc>
          <w:tcPr>
            <w:tcW w:w="2717" w:type="dxa"/>
            <w:tcBorders>
              <w:top w:val="single" w:sz="2" w:space="0" w:color="auto"/>
              <w:left w:val="single" w:sz="12" w:space="0" w:color="auto"/>
              <w:bottom w:val="single" w:sz="18" w:space="0" w:color="auto"/>
              <w:right w:val="single" w:sz="12" w:space="0" w:color="auto"/>
            </w:tcBorders>
            <w:tcMar>
              <w:top w:w="100" w:type="nil"/>
              <w:right w:w="100" w:type="nil"/>
            </w:tcMar>
          </w:tcPr>
          <w:p w14:paraId="5620077C" w14:textId="77777777" w:rsidR="00AC1BF0" w:rsidRDefault="00AC1BF0" w:rsidP="00AC1BF0">
            <w:pPr>
              <w:widowControl w:val="0"/>
              <w:autoSpaceDE w:val="0"/>
              <w:autoSpaceDN w:val="0"/>
              <w:adjustRightInd w:val="0"/>
              <w:spacing w:before="4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SINDICATO ARGENTINO DE EMPLEADOS Y OBREROS DE LA ENSEÑANZA PRIVADA c/CONSEJO SUPERIOR DE EDUCACIÓN CATÓLICA</w:t>
            </w:r>
          </w:p>
          <w:p w14:paraId="25CC0BCC" w14:textId="77777777" w:rsidR="00AC1BF0" w:rsidRDefault="00AC1BF0" w:rsidP="00AC1BF0">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CCT 88/90</w:t>
            </w:r>
          </w:p>
        </w:tc>
        <w:tc>
          <w:tcPr>
            <w:tcW w:w="1317" w:type="dxa"/>
            <w:tcBorders>
              <w:top w:val="single" w:sz="2" w:space="0" w:color="auto"/>
              <w:left w:val="single" w:sz="12" w:space="0" w:color="auto"/>
              <w:bottom w:val="single" w:sz="18" w:space="0" w:color="auto"/>
              <w:right w:val="single" w:sz="12" w:space="0" w:color="auto"/>
            </w:tcBorders>
            <w:tcMar>
              <w:top w:w="100" w:type="nil"/>
              <w:right w:w="100" w:type="nil"/>
            </w:tcMar>
          </w:tcPr>
          <w:p w14:paraId="1FED633C"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7104AB44"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5B2B51ED" w14:textId="77777777" w:rsidR="00AC1BF0" w:rsidRDefault="00AC1BF0" w:rsidP="00AC1BF0">
            <w:pPr>
              <w:widowControl w:val="0"/>
              <w:autoSpaceDE w:val="0"/>
              <w:autoSpaceDN w:val="0"/>
              <w:adjustRightInd w:val="0"/>
              <w:spacing w:before="183"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01/03/2009</w:t>
            </w:r>
          </w:p>
        </w:tc>
        <w:tc>
          <w:tcPr>
            <w:tcW w:w="1318" w:type="dxa"/>
            <w:tcBorders>
              <w:top w:val="single" w:sz="2" w:space="0" w:color="auto"/>
              <w:left w:val="single" w:sz="12" w:space="0" w:color="auto"/>
              <w:bottom w:val="single" w:sz="18" w:space="0" w:color="auto"/>
              <w:right w:val="single" w:sz="12" w:space="0" w:color="auto"/>
            </w:tcBorders>
            <w:tcMar>
              <w:top w:w="100" w:type="nil"/>
              <w:right w:w="100" w:type="nil"/>
            </w:tcMar>
          </w:tcPr>
          <w:p w14:paraId="27F2E59D"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2C5F7CD2"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66445463" w14:textId="77777777" w:rsidR="00AC1BF0" w:rsidRDefault="00AC1BF0" w:rsidP="00AC1BF0">
            <w:pPr>
              <w:widowControl w:val="0"/>
              <w:autoSpaceDE w:val="0"/>
              <w:autoSpaceDN w:val="0"/>
              <w:adjustRightInd w:val="0"/>
              <w:spacing w:before="183"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$ 2.066,81</w:t>
            </w:r>
          </w:p>
        </w:tc>
        <w:tc>
          <w:tcPr>
            <w:tcW w:w="1637" w:type="dxa"/>
            <w:tcBorders>
              <w:top w:val="single" w:sz="2" w:space="0" w:color="auto"/>
              <w:left w:val="single" w:sz="12" w:space="0" w:color="auto"/>
              <w:bottom w:val="single" w:sz="18" w:space="0" w:color="auto"/>
              <w:right w:val="single" w:sz="12" w:space="0" w:color="auto"/>
            </w:tcBorders>
            <w:tcMar>
              <w:top w:w="100" w:type="nil"/>
              <w:right w:w="100" w:type="nil"/>
            </w:tcMar>
          </w:tcPr>
          <w:p w14:paraId="66663A78"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7ADE0BFF"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337F1FE3" w14:textId="77777777" w:rsidR="00AC1BF0" w:rsidRDefault="00AC1BF0" w:rsidP="00AC1BF0">
            <w:pPr>
              <w:widowControl w:val="0"/>
              <w:autoSpaceDE w:val="0"/>
              <w:autoSpaceDN w:val="0"/>
              <w:adjustRightInd w:val="0"/>
              <w:spacing w:before="183"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$ 6.200,43</w:t>
            </w:r>
          </w:p>
        </w:tc>
      </w:tr>
    </w:tbl>
    <w:p w14:paraId="574D1B75" w14:textId="77777777" w:rsidR="00AC1BF0" w:rsidRDefault="00AC1BF0" w:rsidP="00AC1BF0">
      <w:pPr>
        <w:widowControl w:val="0"/>
        <w:autoSpaceDE w:val="0"/>
        <w:autoSpaceDN w:val="0"/>
        <w:adjustRightInd w:val="0"/>
        <w:spacing w:after="0" w:line="240" w:lineRule="auto"/>
        <w:ind w:right="-1"/>
        <w:rPr>
          <w:rFonts w:ascii="Times New Roman" w:hAnsi="Times New Roman" w:cs="Times New Roman"/>
          <w:b/>
          <w:bCs/>
          <w:kern w:val="1"/>
          <w:lang w:val="es-ES"/>
        </w:rPr>
      </w:pPr>
    </w:p>
    <w:p w14:paraId="4423492C" w14:textId="77777777" w:rsidR="00AC1BF0" w:rsidRDefault="00AC1BF0" w:rsidP="00AC1BF0">
      <w:pPr>
        <w:widowControl w:val="0"/>
        <w:autoSpaceDE w:val="0"/>
        <w:autoSpaceDN w:val="0"/>
        <w:adjustRightInd w:val="0"/>
        <w:spacing w:before="17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Buenos Aires, 28 de mayo de 2009</w:t>
      </w:r>
    </w:p>
    <w:p w14:paraId="18BAE585" w14:textId="77777777" w:rsidR="00AC1BF0" w:rsidRDefault="00AC1BF0" w:rsidP="00AC1BF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03CC33" w14:textId="77777777" w:rsidR="00AC1BF0" w:rsidRDefault="00AC1BF0" w:rsidP="00AC1BF0">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conformidad con lo ordenado en la resolución (ST) 596/2009 se ha tomado razón del tope indemnizatorio calculado en el expediente de referencia, quedando registrado con el número 174/09 T.</w:t>
      </w:r>
    </w:p>
    <w:p w14:paraId="6CDB0543" w14:textId="39F7095A" w:rsidR="00592F1B" w:rsidRPr="00AC3BA6" w:rsidRDefault="00592F1B" w:rsidP="00AC1BF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1BF0"/>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3685</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2021-05-27T20:13:00Z</dcterms:created>
  <dcterms:modified xsi:type="dcterms:W3CDTF">2021-05-27T20:13:00Z</dcterms:modified>
</cp:coreProperties>
</file>