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75953" w14:textId="77777777" w:rsidR="00B21CB5" w:rsidRDefault="00B21CB5" w:rsidP="00B21CB5">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563A7914" w14:textId="77777777" w:rsidR="00B21CB5" w:rsidRDefault="00B21CB5" w:rsidP="00B21CB5">
      <w:pPr>
        <w:widowControl w:val="0"/>
        <w:autoSpaceDE w:val="0"/>
        <w:autoSpaceDN w:val="0"/>
        <w:adjustRightInd w:val="0"/>
        <w:spacing w:after="0" w:line="20" w:lineRule="exact"/>
        <w:ind w:right="-1"/>
        <w:rPr>
          <w:rFonts w:ascii="Times New Roman" w:hAnsi="Times New Roman" w:cs="Times New Roman"/>
          <w:sz w:val="2"/>
          <w:szCs w:val="2"/>
          <w:lang w:val="es-ES"/>
        </w:rPr>
      </w:pPr>
    </w:p>
    <w:p w14:paraId="1C43C963" w14:textId="77777777" w:rsidR="00B21CB5" w:rsidRDefault="00B21CB5" w:rsidP="00B21CB5">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1C025BFD" w14:textId="77777777" w:rsidR="00B21CB5" w:rsidRDefault="00B21CB5" w:rsidP="00B21CB5">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AUMENTO DE SUELDOS DEL PERSONAL DOCENTES EXTRAPROGRAMATICO </w:t>
      </w:r>
    </w:p>
    <w:p w14:paraId="6F919BA0" w14:textId="218FC6D6" w:rsidR="00B21CB5" w:rsidRDefault="00B21CB5" w:rsidP="00B21CB5">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LA ENSEÑANZA PRIVADA</w:t>
      </w:r>
    </w:p>
    <w:p w14:paraId="400C3FF6" w14:textId="77777777" w:rsidR="00B21CB5" w:rsidRDefault="00B21CB5" w:rsidP="00B21CB5">
      <w:pPr>
        <w:widowControl w:val="0"/>
        <w:autoSpaceDE w:val="0"/>
        <w:autoSpaceDN w:val="0"/>
        <w:adjustRightInd w:val="0"/>
        <w:spacing w:after="0" w:line="217"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6/2006</w:t>
      </w:r>
    </w:p>
    <w:p w14:paraId="30FE9D81" w14:textId="5353A98A" w:rsidR="00B21CB5" w:rsidRDefault="00B21CB5" w:rsidP="00B21CB5">
      <w:pPr>
        <w:widowControl w:val="0"/>
        <w:autoSpaceDE w:val="0"/>
        <w:autoSpaceDN w:val="0"/>
        <w:adjustRightInd w:val="0"/>
        <w:spacing w:after="0" w:line="240" w:lineRule="auto"/>
        <w:ind w:right="-1"/>
        <w:rPr>
          <w:rFonts w:ascii="Times New Roman" w:hAnsi="Times New Roman" w:cs="Times New Roman"/>
          <w:b/>
          <w:bCs/>
          <w:sz w:val="16"/>
          <w:szCs w:val="16"/>
          <w:lang w:val="es-ES"/>
        </w:rPr>
      </w:pPr>
    </w:p>
    <w:p w14:paraId="32ED2F3D" w14:textId="4B9BE5B4" w:rsidR="00B21CB5" w:rsidRDefault="00B21CB5" w:rsidP="00B21CB5">
      <w:pPr>
        <w:widowControl w:val="0"/>
        <w:autoSpaceDE w:val="0"/>
        <w:autoSpaceDN w:val="0"/>
        <w:adjustRightInd w:val="0"/>
        <w:spacing w:before="7" w:after="0" w:line="240" w:lineRule="auto"/>
        <w:ind w:right="-1"/>
        <w:rPr>
          <w:rFonts w:ascii="Times New Roman" w:hAnsi="Times New Roman" w:cs="Times New Roman"/>
          <w:b/>
          <w:bCs/>
          <w:sz w:val="25"/>
          <w:szCs w:val="25"/>
          <w:lang w:val="es-ES"/>
        </w:rPr>
      </w:pPr>
      <w:bookmarkStart w:id="0" w:name="_GoBack"/>
      <w:bookmarkEnd w:id="0"/>
      <w:r>
        <w:rPr>
          <w:rFonts w:ascii="Trebuchet MS" w:hAnsi="Trebuchet MS" w:cs="Trebuchet MS"/>
          <w:b/>
          <w:bCs/>
          <w:noProof/>
          <w:sz w:val="19"/>
          <w:szCs w:val="19"/>
          <w:lang w:val="es-ES" w:eastAsia="es-ES"/>
        </w:rPr>
        <mc:AlternateContent>
          <mc:Choice Requires="wps">
            <w:drawing>
              <wp:anchor distT="0" distB="0" distL="0" distR="0" simplePos="0" relativeHeight="251658240" behindDoc="1" locked="0" layoutInCell="1" allowOverlap="1" wp14:editId="5EAC00CB">
                <wp:simplePos x="0" y="0"/>
                <wp:positionH relativeFrom="page">
                  <wp:posOffset>1773555</wp:posOffset>
                </wp:positionH>
                <wp:positionV relativeFrom="paragraph">
                  <wp:posOffset>142875</wp:posOffset>
                </wp:positionV>
                <wp:extent cx="4042410" cy="180975"/>
                <wp:effectExtent l="0" t="0" r="21590" b="22225"/>
                <wp:wrapThrough wrapText="bothSides">
                  <wp:wrapPolygon edited="0">
                    <wp:start x="0" y="0"/>
                    <wp:lineTo x="0" y="21221"/>
                    <wp:lineTo x="21580" y="21221"/>
                    <wp:lineTo x="2158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CE91C2" w14:textId="77777777" w:rsidR="00B21CB5" w:rsidRDefault="00B21CB5">
                            <w:pPr>
                              <w:spacing w:before="8"/>
                              <w:ind w:left="686"/>
                              <w:rPr>
                                <w:b/>
                                <w:sz w:val="19"/>
                              </w:rPr>
                            </w:pPr>
                            <w:r>
                              <w:rPr>
                                <w:b/>
                                <w:sz w:val="19"/>
                              </w:rPr>
                              <w:t>MODIFICACION A LA RESOLUCIÓN Nº 3/2006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39.65pt;margin-top:11.25pt;width:318.3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SK44UCAAAgBQAADgAAAGRycy9lMm9Eb2MueG1srFRtb5swEP4+af/B8vcUyGhLUEnVkWSa1L1I&#10;3X6Ag02wBj5mO4Fu2n/f2Q5pun6ZpvEBzvjuuXvOz/nmduxachDaSFAFTS5iSoSqgEu1K+jXL5tZ&#10;RomxTHHWghIFfRSG3i5fv7oZ+lzMoYGWC00QRJl86AvaWNvnUWSqRnTMXEAvFG7WoDtmcal3Edds&#10;QPSujeZxfBUNoHmvoRLG4N9V2KRLj1/XorKf6toIS9qCYm3Wv7V/b907Wt6wfKdZ38jqWAb7hyo6&#10;JhUmPUGtmGVkr+ULqE5WGgzU9qKCLoK6lpXwHJBNEv/B5qFhvfBcsDmmP7XJ/D/Y6uPhsyaS49lR&#10;oliHR1TuGddAuCBWjBZI4po09CZH34ceve34FkYX4Aib/h6qb4YoKBumduJOaxgawTgW6SOjs9CA&#10;YxzIdvgAHLOxvQUPNNa6c4DYE4LoeFiPpwPCOkiFP9M4nacJblW4l2Tx4vrSFRexfIrutbHvBHTE&#10;GQXVKACPzg73xgbXycUlU7CRbetF0CoyONB5lgVi0Erudj1LvduWrSYH5nTkn2Nic+7moFfMNMHP&#10;bwWFddKizFvZFTQ7RbPc9WmtuM9vmWyDjXRa5bIibaz6aAU5/VzEi3W2ztJZOr9az9KY89ndpkxn&#10;V5vk+nL1ZlWWq+SXI5CkeSM5F8pxmKSdpH8nneOQBVGexP2MqzlvycY/L1sSPS/DHxWymr6enReI&#10;00RQhx23IzbEqWYL/BGloiGMLV4zaDSgf1Ay4MgW1HzfMy0oad8rlJub78nQk7GdDKYqDC2opSSY&#10;pQ33wL7XctcgchC0gjuUZC29Wp6qwJLdAsfQF3+8Mtycn6+919PFtvwNAAD//wMAUEsDBBQABgAI&#10;AAAAIQAyC13H4QAAAAkBAAAPAAAAZHJzL2Rvd25yZXYueG1sTI/BTsMwDIbvSLxDZCRuLG1Ht7U0&#10;nRAwDogDbExwzBrTVmuc0mRbeXvMCW62/On39xfL0XbiiINvHSmIJxEIpMqZlmoFb5vV1QKED5qM&#10;7hyhgm/0sCzPzwqdG3eiVzyuQy04hHyuFTQh9LmUvmrQaj9xPRLfPt1gdeB1qKUZ9InDbSeTKJpJ&#10;q1viD43u8a7Bar8+WAX7949sG3+Z6fM2PGSr6/vZ/OXxSanLi/H2BkTAMfzB8KvP6lCy084dyHjR&#10;KUjm2ZRRHpIUBANZnGYgdgrSOAJZFvJ/g/IHAAD//wMAUEsBAi0AFAAGAAgAAAAhAOSZw8D7AAAA&#10;4QEAABMAAAAAAAAAAAAAAAAAAAAAAFtDb250ZW50X1R5cGVzXS54bWxQSwECLQAUAAYACAAAACEA&#10;I7Jq4dcAAACUAQAACwAAAAAAAAAAAAAAAAAsAQAAX3JlbHMvLnJlbHNQSwECLQAUAAYACAAAACEA&#10;TvSK44UCAAAgBQAADgAAAAAAAAAAAAAAAAAsAgAAZHJzL2Uyb0RvYy54bWxQSwECLQAUAAYACAAA&#10;ACEAMgtdx+EAAAAJAQAADwAAAAAAAAAAAAAAAADdBAAAZHJzL2Rvd25yZXYueG1sUEsFBgAAAAAE&#10;AAQA8wAAAOsFAAAAAA==&#10;" filled="f" strokeweight="1.44pt">
                <v:textbox inset="0,0,0,0">
                  <w:txbxContent>
                    <w:p w14:paraId="04CE91C2" w14:textId="77777777" w:rsidR="00B21CB5" w:rsidRDefault="00B21CB5">
                      <w:pPr>
                        <w:spacing w:before="8"/>
                        <w:ind w:left="686"/>
                        <w:rPr>
                          <w:b/>
                          <w:sz w:val="19"/>
                        </w:rPr>
                      </w:pPr>
                      <w:r>
                        <w:rPr>
                          <w:b/>
                          <w:sz w:val="19"/>
                        </w:rPr>
                        <w:t>MODIFICACION A LA RESOLUCIÓN Nº 3/2006 DEL CGEP</w:t>
                      </w:r>
                    </w:p>
                  </w:txbxContent>
                </v:textbox>
                <w10:wrap type="through" anchorx="page"/>
              </v:shape>
            </w:pict>
          </mc:Fallback>
        </mc:AlternateContent>
      </w:r>
    </w:p>
    <w:p w14:paraId="027C891D" w14:textId="11A740B7" w:rsidR="00B21CB5" w:rsidRDefault="00B21CB5" w:rsidP="00B21CB5">
      <w:pPr>
        <w:widowControl w:val="0"/>
        <w:autoSpaceDE w:val="0"/>
        <w:autoSpaceDN w:val="0"/>
        <w:adjustRightInd w:val="0"/>
        <w:spacing w:before="99" w:after="0" w:line="240" w:lineRule="auto"/>
        <w:ind w:right="-1"/>
        <w:rPr>
          <w:rFonts w:ascii="Trebuchet MS" w:hAnsi="Trebuchet MS" w:cs="Trebuchet MS"/>
          <w:b/>
          <w:bCs/>
          <w:sz w:val="19"/>
          <w:szCs w:val="19"/>
          <w:lang w:val="es-ES"/>
        </w:rPr>
      </w:pPr>
    </w:p>
    <w:p w14:paraId="5039F4AD" w14:textId="77777777" w:rsidR="00B21CB5" w:rsidRDefault="00B21CB5" w:rsidP="00B21CB5">
      <w:pPr>
        <w:widowControl w:val="0"/>
        <w:autoSpaceDE w:val="0"/>
        <w:autoSpaceDN w:val="0"/>
        <w:adjustRightInd w:val="0"/>
        <w:spacing w:before="99" w:after="0" w:line="240" w:lineRule="auto"/>
        <w:ind w:right="-1"/>
        <w:rPr>
          <w:rFonts w:ascii="Trebuchet MS" w:hAnsi="Trebuchet MS" w:cs="Trebuchet MS"/>
          <w:b/>
          <w:bCs/>
          <w:sz w:val="19"/>
          <w:szCs w:val="19"/>
          <w:lang w:val="es-ES"/>
        </w:rPr>
      </w:pPr>
      <w:proofErr w:type="spellStart"/>
      <w:r>
        <w:rPr>
          <w:rFonts w:ascii="Trebuchet MS" w:hAnsi="Trebuchet MS" w:cs="Trebuchet MS"/>
          <w:b/>
          <w:bCs/>
          <w:sz w:val="19"/>
          <w:szCs w:val="19"/>
          <w:lang w:val="es-ES"/>
        </w:rPr>
        <w:t>Establécense</w:t>
      </w:r>
      <w:proofErr w:type="spellEnd"/>
      <w:r>
        <w:rPr>
          <w:rFonts w:ascii="Trebuchet MS" w:hAnsi="Trebuchet MS" w:cs="Trebuchet MS"/>
          <w:b/>
          <w:bCs/>
          <w:sz w:val="19"/>
          <w:szCs w:val="19"/>
          <w:lang w:val="es-ES"/>
        </w:rPr>
        <w:t xml:space="preserve"> sueldos mínimos para el personal incluido en el Artículo 18, inciso b) de la Ley Nº 13.047, que se desempeña en los establecimientos privados de enseñanza comprendidos en el Artículo 2º, inciso</w:t>
      </w:r>
    </w:p>
    <w:p w14:paraId="5A6C6F8E" w14:textId="77777777" w:rsidR="00B21CB5" w:rsidRDefault="00B21CB5" w:rsidP="00B21CB5">
      <w:pPr>
        <w:widowControl w:val="0"/>
        <w:autoSpaceDE w:val="0"/>
        <w:autoSpaceDN w:val="0"/>
        <w:adjustRightInd w:val="0"/>
        <w:spacing w:after="0" w:line="217" w:lineRule="exact"/>
        <w:ind w:right="-1"/>
        <w:rPr>
          <w:rFonts w:ascii="Trebuchet MS" w:hAnsi="Trebuchet MS" w:cs="Trebuchet MS"/>
          <w:b/>
          <w:bCs/>
          <w:sz w:val="19"/>
          <w:szCs w:val="19"/>
          <w:lang w:val="es-ES"/>
        </w:rPr>
      </w:pPr>
      <w:r>
        <w:rPr>
          <w:rFonts w:ascii="Trebuchet MS" w:hAnsi="Trebuchet MS" w:cs="Trebuchet MS"/>
          <w:b/>
          <w:bCs/>
          <w:sz w:val="19"/>
          <w:szCs w:val="19"/>
          <w:lang w:val="es-ES"/>
        </w:rPr>
        <w:t>a) de la misma.</w:t>
      </w:r>
    </w:p>
    <w:p w14:paraId="0D008B35" w14:textId="77777777" w:rsidR="00B21CB5" w:rsidRDefault="00B21CB5" w:rsidP="00B21CB5">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68E923F4" w14:textId="77777777" w:rsidR="00B21CB5" w:rsidRDefault="00B21CB5" w:rsidP="00B21CB5">
      <w:pPr>
        <w:widowControl w:val="0"/>
        <w:autoSpaceDE w:val="0"/>
        <w:autoSpaceDN w:val="0"/>
        <w:adjustRightInd w:val="0"/>
        <w:spacing w:before="99"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21 de septiembre de 2006</w:t>
      </w:r>
    </w:p>
    <w:p w14:paraId="23CBD5FD" w14:textId="77777777" w:rsidR="00B21CB5" w:rsidRDefault="00B21CB5" w:rsidP="00B21CB5">
      <w:pPr>
        <w:widowControl w:val="0"/>
        <w:autoSpaceDE w:val="0"/>
        <w:autoSpaceDN w:val="0"/>
        <w:adjustRightInd w:val="0"/>
        <w:spacing w:after="0" w:line="220" w:lineRule="exact"/>
        <w:ind w:right="-1"/>
        <w:rPr>
          <w:rFonts w:ascii="Trebuchet MS" w:hAnsi="Trebuchet MS" w:cs="Trebuchet MS"/>
          <w:b/>
          <w:bCs/>
          <w:sz w:val="19"/>
          <w:szCs w:val="19"/>
          <w:lang w:val="es-ES"/>
        </w:rPr>
      </w:pPr>
    </w:p>
    <w:p w14:paraId="53152E37" w14:textId="77777777" w:rsidR="00B21CB5" w:rsidRDefault="00B21CB5" w:rsidP="00B21CB5">
      <w:pPr>
        <w:widowControl w:val="0"/>
        <w:autoSpaceDE w:val="0"/>
        <w:autoSpaceDN w:val="0"/>
        <w:adjustRightInd w:val="0"/>
        <w:spacing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E9AE75E" w14:textId="77777777" w:rsidR="00B21CB5" w:rsidRDefault="00B21CB5" w:rsidP="00B21CB5">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47AAF6DC" w14:textId="77777777" w:rsidR="00B21CB5" w:rsidRDefault="00B21CB5" w:rsidP="00B21CB5">
      <w:pPr>
        <w:widowControl w:val="0"/>
        <w:autoSpaceDE w:val="0"/>
        <w:autoSpaceDN w:val="0"/>
        <w:adjustRightInd w:val="0"/>
        <w:spacing w:before="99"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las atribuciones conferidas por los Artículos 18º inc. b y 31 Inciso 2º de la Ley 13.047 y</w:t>
      </w:r>
    </w:p>
    <w:p w14:paraId="04CD3D8D" w14:textId="77777777" w:rsidR="00B21CB5" w:rsidRDefault="00B21CB5" w:rsidP="00B21CB5">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0BF05B7" w14:textId="77777777" w:rsidR="00B21CB5" w:rsidRDefault="00B21CB5" w:rsidP="00B21CB5">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B4B1FDC" w14:textId="77777777" w:rsidR="00B21CB5" w:rsidRDefault="00B21CB5" w:rsidP="00B21CB5">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16E7752"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no incluido en las plantas orgánico funcionales, que desempeña sus tareas en establecimientos educativos de gestión privada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reconocidos;</w:t>
      </w:r>
    </w:p>
    <w:p w14:paraId="05E43EDD" w14:textId="77777777" w:rsidR="00B21CB5" w:rsidRDefault="00B21CB5" w:rsidP="00B21CB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04C4EFF" w14:textId="77777777" w:rsidR="00B21CB5" w:rsidRDefault="00B21CB5" w:rsidP="00B21CB5">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atendiendo 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política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p>
    <w:p w14:paraId="2A7F6024" w14:textId="77777777" w:rsidR="00B21CB5" w:rsidRDefault="00B21CB5" w:rsidP="00B21CB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39814E9"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efectos de la presente recomposición quedarán alcanzados por las prescripciones establecidas en el Decreto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2417-PEN-93;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septiembre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2006,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aprobó</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mayoría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dictado del</w:t>
      </w:r>
    </w:p>
    <w:p w14:paraId="2C67304F" w14:textId="77777777" w:rsidR="00B21CB5" w:rsidRDefault="00B21CB5" w:rsidP="00B21CB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presente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31; Por ello, en uso de facultades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propias</w:t>
      </w:r>
    </w:p>
    <w:p w14:paraId="0DB51A19" w14:textId="77777777" w:rsidR="00B21CB5" w:rsidRDefault="00B21CB5" w:rsidP="00B21CB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7B6EAEC" w14:textId="77777777" w:rsidR="00B21CB5" w:rsidRDefault="00B21CB5" w:rsidP="00B21CB5">
      <w:pPr>
        <w:widowControl w:val="0"/>
        <w:autoSpaceDE w:val="0"/>
        <w:autoSpaceDN w:val="0"/>
        <w:adjustRightInd w:val="0"/>
        <w:spacing w:after="0" w:line="235" w:lineRule="auto"/>
        <w:ind w:right="-1"/>
        <w:jc w:val="center"/>
        <w:rPr>
          <w:rFonts w:ascii="Trebuchet MS" w:hAnsi="Trebuchet MS" w:cs="Trebuchet MS"/>
          <w:kern w:val="1"/>
          <w:sz w:val="19"/>
          <w:szCs w:val="19"/>
          <w:lang w:val="es-ES"/>
        </w:rPr>
      </w:pPr>
      <w:r>
        <w:rPr>
          <w:rFonts w:ascii="Trebuchet MS" w:hAnsi="Trebuchet MS" w:cs="Trebuchet MS"/>
          <w:b/>
          <w:bCs/>
          <w:kern w:val="1"/>
          <w:sz w:val="19"/>
          <w:szCs w:val="19"/>
          <w:lang w:val="es-ES"/>
        </w:rPr>
        <w:t>EL CONSEJO GREMIAL DE ENSEÑANZA PRIVADA Reunido en sesión ordinaria RESUELVE</w:t>
      </w:r>
      <w:r>
        <w:rPr>
          <w:rFonts w:ascii="Trebuchet MS" w:hAnsi="Trebuchet MS" w:cs="Trebuchet MS"/>
          <w:kern w:val="1"/>
          <w:sz w:val="19"/>
          <w:szCs w:val="19"/>
          <w:lang w:val="es-ES"/>
        </w:rPr>
        <w:t>:</w:t>
      </w:r>
    </w:p>
    <w:p w14:paraId="3F5F68A1" w14:textId="77777777" w:rsidR="00B21CB5" w:rsidRDefault="00B21CB5" w:rsidP="00B21CB5">
      <w:pPr>
        <w:widowControl w:val="0"/>
        <w:autoSpaceDE w:val="0"/>
        <w:autoSpaceDN w:val="0"/>
        <w:adjustRightInd w:val="0"/>
        <w:spacing w:after="0" w:line="240" w:lineRule="auto"/>
        <w:ind w:right="-1"/>
        <w:rPr>
          <w:rFonts w:ascii="Times New Roman" w:hAnsi="Times New Roman" w:cs="Times New Roman"/>
          <w:kern w:val="1"/>
          <w:lang w:val="es-ES"/>
        </w:rPr>
      </w:pPr>
    </w:p>
    <w:p w14:paraId="55A85CB3"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r>
        <w:rPr>
          <w:rFonts w:ascii="Trebuchet MS" w:hAnsi="Trebuchet MS" w:cs="Trebuchet MS"/>
          <w:kern w:val="1"/>
          <w:sz w:val="19"/>
          <w:szCs w:val="19"/>
          <w:lang w:val="es-ES"/>
        </w:rPr>
        <w:t>— Establecer para el personal incluido en el artículo 18, inciso b) de la Ley 13.047 que se desempeña en los establecimientos privados de enseñanza comprendidos en el Artículo 2º, inciso a) de la misma, los siguientes sueldos mínimos, los que regirán a partir del 1º de Septiembre de 2006 conforme se detalla a continuación:</w:t>
      </w:r>
    </w:p>
    <w:p w14:paraId="36F918A4" w14:textId="77777777" w:rsidR="00B21CB5" w:rsidRDefault="00B21CB5" w:rsidP="00B21CB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D332EB6" w14:textId="77777777" w:rsidR="00B21CB5" w:rsidRDefault="00B21CB5" w:rsidP="00B21CB5">
      <w:pPr>
        <w:widowControl w:val="0"/>
        <w:tabs>
          <w:tab w:val="left" w:pos="33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el preceptor </w:t>
      </w:r>
      <w:proofErr w:type="spellStart"/>
      <w:r>
        <w:rPr>
          <w:rFonts w:ascii="Trebuchet MS" w:hAnsi="Trebuchet MS" w:cs="Trebuchet MS"/>
          <w:kern w:val="1"/>
          <w:sz w:val="19"/>
          <w:szCs w:val="19"/>
          <w:lang w:val="es-ES"/>
        </w:rPr>
        <w:t>extraprogramático</w:t>
      </w:r>
      <w:proofErr w:type="spellEnd"/>
      <w:r>
        <w:rPr>
          <w:rFonts w:ascii="Trebuchet MS" w:hAnsi="Trebuchet MS" w:cs="Trebuchet MS"/>
          <w:kern w:val="1"/>
          <w:sz w:val="19"/>
          <w:szCs w:val="19"/>
          <w:lang w:val="es-ES"/>
        </w:rPr>
        <w:t>, por hora semanal de sesenta minutos $</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25.10</w:t>
      </w:r>
    </w:p>
    <w:p w14:paraId="7F93BB81" w14:textId="77777777" w:rsidR="00B21CB5" w:rsidRDefault="00B21CB5" w:rsidP="00B21CB5">
      <w:pPr>
        <w:widowControl w:val="0"/>
        <w:tabs>
          <w:tab w:val="left" w:pos="349"/>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Director de Escuela Idiomática que cumpla cuatro horas diarias de 60 minutos de tarea, sin título habilitante: $ 852.93 Cuando posea título habilitante $</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886.54</w:t>
      </w:r>
    </w:p>
    <w:p w14:paraId="618D3753" w14:textId="77777777" w:rsidR="00B21CB5" w:rsidRDefault="00B21CB5" w:rsidP="00B21CB5">
      <w:pPr>
        <w:widowControl w:val="0"/>
        <w:tabs>
          <w:tab w:val="left" w:pos="41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personal docente no comprendido en planta orgánico funcional que presta servicios en los establecimientos incorporados a la enseñanza oficial, devengará una retribución mínima mensual, por cada hora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sesenta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28.43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posea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título habilitante $</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26.15</w:t>
      </w:r>
    </w:p>
    <w:p w14:paraId="019067E9" w14:textId="77777777" w:rsidR="00B21CB5" w:rsidRDefault="00B21CB5" w:rsidP="00B21CB5">
      <w:pPr>
        <w:widowControl w:val="0"/>
        <w:tabs>
          <w:tab w:val="left" w:pos="337"/>
        </w:tabs>
        <w:autoSpaceDE w:val="0"/>
        <w:autoSpaceDN w:val="0"/>
        <w:adjustRightInd w:val="0"/>
        <w:spacing w:after="0" w:line="219"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maestro/a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diferenciales,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sesenta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minutos</w:t>
      </w:r>
    </w:p>
    <w:p w14:paraId="1BEF19AF" w14:textId="77777777" w:rsidR="00B21CB5" w:rsidRDefault="00B21CB5" w:rsidP="00B21CB5">
      <w:pPr>
        <w:widowControl w:val="0"/>
        <w:tabs>
          <w:tab w:val="left" w:pos="516"/>
        </w:tabs>
        <w:autoSpaceDE w:val="0"/>
        <w:autoSpaceDN w:val="0"/>
        <w:adjustRightInd w:val="0"/>
        <w:spacing w:after="0" w:line="218" w:lineRule="exact"/>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posea título habilitante $</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30.54</w:t>
      </w:r>
    </w:p>
    <w:p w14:paraId="3EB8FF5B" w14:textId="77777777" w:rsidR="00B21CB5" w:rsidRDefault="00B21CB5" w:rsidP="00B21CB5">
      <w:pPr>
        <w:widowControl w:val="0"/>
        <w:tabs>
          <w:tab w:val="left" w:pos="516"/>
        </w:tabs>
        <w:autoSpaceDE w:val="0"/>
        <w:autoSpaceDN w:val="0"/>
        <w:adjustRightInd w:val="0"/>
        <w:spacing w:after="0" w:line="220" w:lineRule="exact"/>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no posea título habilitante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28.43</w:t>
      </w:r>
    </w:p>
    <w:p w14:paraId="5A290E8D" w14:textId="5DDD0102" w:rsidR="00B21CB5" w:rsidRDefault="00B21CB5" w:rsidP="00B21CB5">
      <w:pPr>
        <w:widowControl w:val="0"/>
        <w:tabs>
          <w:tab w:val="left" w:pos="373"/>
        </w:tabs>
        <w:autoSpaceDE w:val="0"/>
        <w:autoSpaceDN w:val="0"/>
        <w:adjustRightInd w:val="0"/>
        <w:spacing w:before="88" w:after="0" w:line="240" w:lineRule="auto"/>
        <w:ind w:left="373" w:right="-1" w:hanging="373"/>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personal a que se refiere el inciso b) cumpla sus tareas en tiempo mayor o menor que el 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aumentará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disminuirá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proporcionalmente.</w:t>
      </w:r>
    </w:p>
    <w:p w14:paraId="74201A20" w14:textId="77777777" w:rsidR="00B21CB5" w:rsidRDefault="00B21CB5" w:rsidP="00B21CB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E9734D7"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2º</w:t>
      </w:r>
      <w:r>
        <w:rPr>
          <w:rFonts w:ascii="Trebuchet MS" w:hAnsi="Trebuchet MS" w:cs="Trebuchet MS"/>
          <w:b/>
          <w:bC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órgano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interpretación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p>
    <w:p w14:paraId="59D2CF48" w14:textId="77777777" w:rsidR="00B21CB5" w:rsidRDefault="00B21CB5" w:rsidP="00B21CB5">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766D952" w14:textId="77777777" w:rsidR="00B21CB5" w:rsidRDefault="00B21CB5" w:rsidP="00B21CB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3º </w:t>
      </w:r>
      <w:r>
        <w:rPr>
          <w:rFonts w:ascii="Trebuchet MS" w:hAnsi="Trebuchet MS" w:cs="Trebuchet MS"/>
          <w:kern w:val="1"/>
          <w:sz w:val="19"/>
          <w:szCs w:val="19"/>
          <w:lang w:val="es-ES"/>
        </w:rPr>
        <w:t>— En los casos regidos por más de una disposición se aplicará la más favorable al personal.</w:t>
      </w:r>
    </w:p>
    <w:p w14:paraId="0FABE24D" w14:textId="77777777" w:rsidR="00B21CB5" w:rsidRDefault="00B21CB5" w:rsidP="00B21CB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01570B3"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4º </w:t>
      </w:r>
      <w:r>
        <w:rPr>
          <w:rFonts w:ascii="Trebuchet MS" w:hAnsi="Trebuchet MS" w:cs="Trebuchet MS"/>
          <w:kern w:val="1"/>
          <w:sz w:val="19"/>
          <w:szCs w:val="19"/>
          <w:lang w:val="es-ES"/>
        </w:rPr>
        <w:t>— 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 El cumplimiento de la presente resolución no podrá importar, en ningún caso, disminución</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61915CDD" w14:textId="77777777" w:rsidR="00B21CB5" w:rsidRDefault="00B21CB5" w:rsidP="00B21C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A48253"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2"/>
          <w:kern w:val="1"/>
          <w:sz w:val="19"/>
          <w:szCs w:val="19"/>
          <w:lang w:val="es-ES"/>
        </w:rPr>
        <w:t xml:space="preserve"> </w:t>
      </w:r>
      <w:r>
        <w:rPr>
          <w:rFonts w:ascii="Trebuchet MS" w:hAnsi="Trebuchet MS" w:cs="Trebuchet MS"/>
          <w:b/>
          <w:bCs/>
          <w:kern w:val="1"/>
          <w:sz w:val="19"/>
          <w:szCs w:val="19"/>
          <w:lang w:val="es-ES"/>
        </w:rPr>
        <w:t>5º</w:t>
      </w:r>
      <w:r>
        <w:rPr>
          <w:rFonts w:ascii="Trebuchet MS" w:hAnsi="Trebuchet MS" w:cs="Trebuchet MS"/>
          <w:b/>
          <w:bCs/>
          <w:spacing w:val="-3"/>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contemplados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objeto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particular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por este Consejo Gremial de Enseñanza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Privada.</w:t>
      </w:r>
    </w:p>
    <w:p w14:paraId="62285D2D" w14:textId="77777777" w:rsidR="00B21CB5" w:rsidRDefault="00B21CB5" w:rsidP="00B21C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18B7BF0"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6º</w:t>
      </w:r>
      <w:r>
        <w:rPr>
          <w:rFonts w:ascii="Trebuchet MS" w:hAnsi="Trebuchet MS" w:cs="Trebuchet MS"/>
          <w:b/>
          <w:bCs/>
          <w:spacing w:val="-2"/>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Desglosar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archivo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sustitución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autenticada 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Presidencia,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remitiendo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Ministerios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Provinciales,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Provinciales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 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efectos.</w:t>
      </w:r>
    </w:p>
    <w:p w14:paraId="1F1E71F1" w14:textId="77777777" w:rsidR="00B21CB5" w:rsidRDefault="00B21CB5" w:rsidP="00B21C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3854DB1" w14:textId="77777777" w:rsidR="00B21CB5" w:rsidRDefault="00B21CB5" w:rsidP="00B21C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7º </w:t>
      </w:r>
      <w:r>
        <w:rPr>
          <w:rFonts w:ascii="Trebuchet MS" w:hAnsi="Trebuchet MS" w:cs="Trebuchet MS"/>
          <w:kern w:val="1"/>
          <w:sz w:val="19"/>
          <w:szCs w:val="19"/>
          <w:lang w:val="es-ES"/>
        </w:rPr>
        <w:t xml:space="preserv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C. </w:t>
      </w:r>
      <w:proofErr w:type="spellStart"/>
      <w:r>
        <w:rPr>
          <w:rFonts w:ascii="Trebuchet MS" w:hAnsi="Trebuchet MS" w:cs="Trebuchet MS"/>
          <w:kern w:val="1"/>
          <w:sz w:val="19"/>
          <w:szCs w:val="19"/>
          <w:lang w:val="es-ES"/>
        </w:rPr>
        <w:t>Covalschi</w:t>
      </w:r>
      <w:proofErr w:type="spellEnd"/>
      <w:r>
        <w:rPr>
          <w:rFonts w:ascii="Trebuchet MS" w:hAnsi="Trebuchet MS" w:cs="Trebuchet MS"/>
          <w:kern w:val="1"/>
          <w:sz w:val="19"/>
          <w:szCs w:val="19"/>
          <w:lang w:val="es-ES"/>
        </w:rPr>
        <w:t xml:space="preserve">. — Silvia </w:t>
      </w:r>
      <w:proofErr w:type="spellStart"/>
      <w:r>
        <w:rPr>
          <w:rFonts w:ascii="Trebuchet MS" w:hAnsi="Trebuchet MS" w:cs="Trebuchet MS"/>
          <w:kern w:val="1"/>
          <w:sz w:val="19"/>
          <w:szCs w:val="19"/>
          <w:lang w:val="es-ES"/>
        </w:rPr>
        <w:t>Squire</w:t>
      </w:r>
      <w:proofErr w:type="spellEnd"/>
      <w:r>
        <w:rPr>
          <w:rFonts w:ascii="Trebuchet MS" w:hAnsi="Trebuchet MS" w:cs="Trebuchet MS"/>
          <w:kern w:val="1"/>
          <w:sz w:val="19"/>
          <w:szCs w:val="19"/>
          <w:lang w:val="es-ES"/>
        </w:rPr>
        <w:t xml:space="preserve">. — Elena O. de </w:t>
      </w:r>
      <w:proofErr w:type="spellStart"/>
      <w:r>
        <w:rPr>
          <w:rFonts w:ascii="Trebuchet MS" w:hAnsi="Trebuchet MS" w:cs="Trebuchet MS"/>
          <w:kern w:val="1"/>
          <w:sz w:val="19"/>
          <w:szCs w:val="19"/>
          <w:lang w:val="es-ES"/>
        </w:rPr>
        <w:t>Otaola</w:t>
      </w:r>
      <w:proofErr w:type="spellEnd"/>
      <w:r>
        <w:rPr>
          <w:rFonts w:ascii="Trebuchet MS" w:hAnsi="Trebuchet MS" w:cs="Trebuchet MS"/>
          <w:kern w:val="1"/>
          <w:sz w:val="19"/>
          <w:szCs w:val="19"/>
          <w:lang w:val="es-ES"/>
        </w:rPr>
        <w:t xml:space="preserve">. — Jorge Sánchez. — Horacio Ferrari. —Alicia </w:t>
      </w:r>
      <w:proofErr w:type="spellStart"/>
      <w:r>
        <w:rPr>
          <w:rFonts w:ascii="Trebuchet MS" w:hAnsi="Trebuchet MS" w:cs="Trebuchet MS"/>
          <w:kern w:val="1"/>
          <w:sz w:val="19"/>
          <w:szCs w:val="19"/>
          <w:lang w:val="es-ES"/>
        </w:rPr>
        <w:t>Velich</w:t>
      </w:r>
      <w:proofErr w:type="spellEnd"/>
      <w:r>
        <w:rPr>
          <w:rFonts w:ascii="Trebuchet MS" w:hAnsi="Trebuchet MS" w:cs="Trebuchet MS"/>
          <w:kern w:val="1"/>
          <w:sz w:val="19"/>
          <w:szCs w:val="19"/>
          <w:lang w:val="es-ES"/>
        </w:rPr>
        <w:t xml:space="preserve">. — Domingo De Cara. — Manuel Gómez. — Osvaldo </w:t>
      </w:r>
      <w:proofErr w:type="spellStart"/>
      <w:r>
        <w:rPr>
          <w:rFonts w:ascii="Trebuchet MS" w:hAnsi="Trebuchet MS" w:cs="Trebuchet MS"/>
          <w:kern w:val="1"/>
          <w:sz w:val="19"/>
          <w:szCs w:val="19"/>
          <w:lang w:val="es-ES"/>
        </w:rPr>
        <w:t>Devries</w:t>
      </w:r>
      <w:proofErr w:type="spellEnd"/>
      <w:r>
        <w:rPr>
          <w:rFonts w:ascii="Trebuchet MS" w:hAnsi="Trebuchet MS" w:cs="Trebuchet MS"/>
          <w:kern w:val="1"/>
          <w:sz w:val="19"/>
          <w:szCs w:val="19"/>
          <w:lang w:val="es-ES"/>
        </w:rPr>
        <w:t xml:space="preserve">. — Pablo </w:t>
      </w:r>
      <w:proofErr w:type="spellStart"/>
      <w:r>
        <w:rPr>
          <w:rFonts w:ascii="Trebuchet MS" w:hAnsi="Trebuchet MS" w:cs="Trebuchet MS"/>
          <w:kern w:val="1"/>
          <w:sz w:val="19"/>
          <w:szCs w:val="19"/>
          <w:lang w:val="es-ES"/>
        </w:rPr>
        <w:t>Olocco</w:t>
      </w:r>
      <w:proofErr w:type="spellEnd"/>
      <w:r>
        <w:rPr>
          <w:rFonts w:ascii="Trebuchet MS" w:hAnsi="Trebuchet MS" w:cs="Trebuchet MS"/>
          <w:kern w:val="1"/>
          <w:sz w:val="19"/>
          <w:szCs w:val="19"/>
          <w:lang w:val="es-ES"/>
        </w:rPr>
        <w:t xml:space="preserve">. — Mario Almirón. — Horacio </w:t>
      </w:r>
      <w:proofErr w:type="spellStart"/>
      <w:r>
        <w:rPr>
          <w:rFonts w:ascii="Trebuchet MS" w:hAnsi="Trebuchet MS" w:cs="Trebuchet MS"/>
          <w:kern w:val="1"/>
          <w:sz w:val="19"/>
          <w:szCs w:val="19"/>
          <w:lang w:val="es-ES"/>
        </w:rPr>
        <w:t>Ghilini</w:t>
      </w:r>
      <w:proofErr w:type="spellEnd"/>
      <w:r>
        <w:rPr>
          <w:rFonts w:ascii="Trebuchet MS" w:hAnsi="Trebuchet MS" w:cs="Trebuchet MS"/>
          <w:kern w:val="1"/>
          <w:sz w:val="19"/>
          <w:szCs w:val="19"/>
          <w:lang w:val="es-ES"/>
        </w:rPr>
        <w:t>.</w:t>
      </w:r>
    </w:p>
    <w:p w14:paraId="6CDB0543" w14:textId="39F7095A" w:rsidR="00592F1B" w:rsidRPr="00AC3BA6" w:rsidRDefault="00592F1B" w:rsidP="00B21CB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000000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CB5"/>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3655</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2021-05-24T20:17:00Z</dcterms:created>
  <dcterms:modified xsi:type="dcterms:W3CDTF">2021-05-24T20:17:00Z</dcterms:modified>
</cp:coreProperties>
</file>