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F2F71" w14:textId="77777777" w:rsidR="00D10B62" w:rsidRDefault="00D10B62" w:rsidP="00D10B62">
      <w:pPr>
        <w:widowControl w:val="0"/>
        <w:autoSpaceDE w:val="0"/>
        <w:autoSpaceDN w:val="0"/>
        <w:adjustRightInd w:val="0"/>
        <w:spacing w:before="10" w:after="0" w:line="240" w:lineRule="auto"/>
        <w:ind w:right="-1"/>
        <w:rPr>
          <w:rFonts w:ascii="Times New Roman" w:hAnsi="Times New Roman" w:cs="Times New Roman"/>
          <w:sz w:val="4"/>
          <w:szCs w:val="4"/>
          <w:lang w:val="es-ES"/>
        </w:rPr>
      </w:pPr>
    </w:p>
    <w:p w14:paraId="6E0BD25F" w14:textId="77777777" w:rsidR="00D10B62" w:rsidRDefault="00D10B62" w:rsidP="00D10B62">
      <w:pPr>
        <w:widowControl w:val="0"/>
        <w:autoSpaceDE w:val="0"/>
        <w:autoSpaceDN w:val="0"/>
        <w:adjustRightInd w:val="0"/>
        <w:spacing w:after="0" w:line="20" w:lineRule="exact"/>
        <w:ind w:right="-1"/>
        <w:rPr>
          <w:rFonts w:ascii="Times New Roman" w:hAnsi="Times New Roman" w:cs="Times New Roman"/>
          <w:sz w:val="2"/>
          <w:szCs w:val="2"/>
          <w:lang w:val="es-ES"/>
        </w:rPr>
      </w:pPr>
    </w:p>
    <w:p w14:paraId="5692876D"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E623B09" w14:textId="77777777" w:rsidR="00D10B62" w:rsidRDefault="00D10B62" w:rsidP="00D10B62">
      <w:pPr>
        <w:widowControl w:val="0"/>
        <w:autoSpaceDE w:val="0"/>
        <w:autoSpaceDN w:val="0"/>
        <w:adjustRightInd w:val="0"/>
        <w:spacing w:before="7" w:after="0" w:line="240" w:lineRule="auto"/>
        <w:ind w:right="-1"/>
        <w:rPr>
          <w:rFonts w:ascii="Times New Roman" w:hAnsi="Times New Roman" w:cs="Times New Roman"/>
          <w:sz w:val="21"/>
          <w:szCs w:val="21"/>
          <w:lang w:val="es-ES"/>
        </w:rPr>
      </w:pPr>
    </w:p>
    <w:p w14:paraId="5DD51158" w14:textId="7B97804E" w:rsidR="00D10B62" w:rsidRDefault="00D10B62" w:rsidP="00D10B62">
      <w:pPr>
        <w:widowControl w:val="0"/>
        <w:autoSpaceDE w:val="0"/>
        <w:autoSpaceDN w:val="0"/>
        <w:adjustRightInd w:val="0"/>
        <w:spacing w:after="0" w:line="36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ESTABLÉCENSE SUELDOS BÁSICOS PARA EL PERSONAL NO DOCENTE</w:t>
      </w:r>
    </w:p>
    <w:p w14:paraId="297FAB54" w14:textId="520742B8" w:rsidR="00D10B62" w:rsidRDefault="00D10B62" w:rsidP="00D10B62">
      <w:pPr>
        <w:widowControl w:val="0"/>
        <w:autoSpaceDE w:val="0"/>
        <w:autoSpaceDN w:val="0"/>
        <w:adjustRightInd w:val="0"/>
        <w:spacing w:after="0" w:line="36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QUE SE DESEMPEÑA EN ESTABLECIMIENTOS DE ENSEÑANZA PRIVADA.</w:t>
      </w:r>
    </w:p>
    <w:p w14:paraId="21DC6DF0" w14:textId="77777777" w:rsidR="00D10B62" w:rsidRDefault="00D10B62" w:rsidP="00D10B62">
      <w:pPr>
        <w:widowControl w:val="0"/>
        <w:autoSpaceDE w:val="0"/>
        <w:autoSpaceDN w:val="0"/>
        <w:adjustRightInd w:val="0"/>
        <w:spacing w:after="0" w:line="36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ZONA 2 MINISTERIO DE EDUCACION</w:t>
      </w:r>
    </w:p>
    <w:p w14:paraId="68A8BFBD" w14:textId="7E222D03" w:rsidR="00D10B62" w:rsidRDefault="00D10B62" w:rsidP="00D10B62">
      <w:pPr>
        <w:widowControl w:val="0"/>
        <w:autoSpaceDE w:val="0"/>
        <w:autoSpaceDN w:val="0"/>
        <w:adjustRightInd w:val="0"/>
        <w:spacing w:before="116"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GREMIAL DE ENSEÑANZA PRIVADA</w:t>
      </w:r>
    </w:p>
    <w:p w14:paraId="20726169" w14:textId="2CD0B5A4" w:rsidR="00D10B62" w:rsidRDefault="00D10B62" w:rsidP="00D10B62">
      <w:pPr>
        <w:widowControl w:val="0"/>
        <w:autoSpaceDE w:val="0"/>
        <w:autoSpaceDN w:val="0"/>
        <w:adjustRightInd w:val="0"/>
        <w:spacing w:before="116"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6/2014 CGEP</w:t>
      </w:r>
    </w:p>
    <w:p w14:paraId="5F0FCF16" w14:textId="77777777" w:rsidR="00D10B62" w:rsidRDefault="00D10B62" w:rsidP="00D10B62">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Bs. As., 13/5/2014</w:t>
      </w:r>
    </w:p>
    <w:p w14:paraId="7C8865F1"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7BBBE6C" w14:textId="77777777" w:rsidR="00D10B62" w:rsidRDefault="00D10B62" w:rsidP="00D10B62">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1884F00E"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EFA131E" w14:textId="77777777" w:rsidR="00D10B62" w:rsidRDefault="00D10B62" w:rsidP="00D10B62">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las atribuciones conferidas por los Artículos 18° inc. b) y 31 Inciso 2° de la Ley 13.047, y</w:t>
      </w:r>
    </w:p>
    <w:p w14:paraId="1ABC2B0F"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FCCAB07" w14:textId="77777777" w:rsidR="00D10B62" w:rsidRDefault="00D10B62" w:rsidP="00D10B62">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29C9F772" w14:textId="77777777" w:rsidR="00D10B62" w:rsidRDefault="00D10B62" w:rsidP="00D10B62">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4426AA54" w14:textId="77777777" w:rsidR="00D10B62" w:rsidRDefault="00D10B62" w:rsidP="00D10B62">
      <w:pPr>
        <w:widowControl w:val="0"/>
        <w:autoSpaceDE w:val="0"/>
        <w:autoSpaceDN w:val="0"/>
        <w:adjustRightInd w:val="0"/>
        <w:spacing w:before="100" w:after="0" w:line="240" w:lineRule="auto"/>
        <w:ind w:right="-1"/>
        <w:jc w:val="both"/>
        <w:rPr>
          <w:rFonts w:ascii="Times New Roman" w:hAnsi="Times New Roman" w:cs="Times New Roman"/>
          <w:sz w:val="20"/>
          <w:szCs w:val="20"/>
          <w:lang w:val="es-ES"/>
        </w:rPr>
      </w:pPr>
    </w:p>
    <w:p w14:paraId="1A613129"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DA7A0CD" w14:textId="77777777" w:rsidR="00D10B62" w:rsidRDefault="00D10B62" w:rsidP="00D10B62">
      <w:pPr>
        <w:widowControl w:val="0"/>
        <w:autoSpaceDE w:val="0"/>
        <w:autoSpaceDN w:val="0"/>
        <w:adjustRightInd w:val="0"/>
        <w:spacing w:before="10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representante gremial del personal no docente ha solicitado por ante este Consejo se apruebe una recomposición salarial del sector para aquellos que desempeñan tareas en la ZONA 2 conforme Resolución Nº 02 - CGEP - 2011, mediante Actuación Interna Nº 131/2014;</w:t>
      </w:r>
    </w:p>
    <w:p w14:paraId="42D0A713"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9A64C22"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no obstante la modificación del Artículo 8° del Convenio Colectivo Nº 318/99 acordada entre las partes, conforme luce en Actuación Interna Nº 131/2014, este Consejo Gremial de Enseñanza Privada conserva la competencia para dictar el presente acto administrativo, hasta tanto dicha reforma sea homologada por el Ministerio de Trabajo, Empleo y Seguridad Social;</w:t>
      </w:r>
    </w:p>
    <w:p w14:paraId="5BC39216" w14:textId="77777777" w:rsidR="00D10B62" w:rsidRDefault="00D10B62" w:rsidP="00D10B62">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78C838BF"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este Consejo Gremial de Enseñanza Privada ha considerado oportuno otorgar un incremento salarial personal no docente comprendido en el inciso b) del Art. 18 de la Ley 13.047;</w:t>
      </w:r>
    </w:p>
    <w:p w14:paraId="3435E0A9" w14:textId="77777777" w:rsidR="00D10B62" w:rsidRDefault="00D10B62" w:rsidP="00D10B62">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11F8952E"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sesión de fecha 13 de Mayo de 2014, se aprobó por unanimidad el dictado del presente acto administrativo, conforme lo determina la Ley 13.047 en sus Artículos 18 inciso b) y 31;</w:t>
      </w:r>
    </w:p>
    <w:p w14:paraId="087FBAC4"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72C9565"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Por ello, en uso de facultades propias</w:t>
      </w:r>
    </w:p>
    <w:p w14:paraId="746C1343"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12BEDCB" w14:textId="77777777" w:rsidR="00D10B62" w:rsidRDefault="00D10B62" w:rsidP="00D10B62">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EL CONSEJO GREMIAL DE ENSEÑANZA PRIVADA REUNIDO EN SESION ORDINARIA RESUELVE:</w:t>
      </w:r>
    </w:p>
    <w:p w14:paraId="3D4E79B6" w14:textId="77777777" w:rsidR="00D10B62" w:rsidRDefault="00D10B62" w:rsidP="00D10B62">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06A0036D"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ARTICULO 1° — Establecer para todo el personal no docente incluido en el Artículo 18 inciso b) de la Ley 13.047, que se desempeña en los establecimientos privados de enseñanza comprendidos en el Art. 2° inciso a); b) y c) de la referida normativa - ZONA 2, los siguientes sueldos básicos:</w:t>
      </w:r>
    </w:p>
    <w:p w14:paraId="43B02AF0"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lang w:val="es-ES"/>
        </w:rPr>
      </w:pPr>
    </w:p>
    <w:p w14:paraId="586C17D2" w14:textId="77777777" w:rsidR="00D10B62" w:rsidRDefault="00D10B62" w:rsidP="00D10B62">
      <w:pPr>
        <w:widowControl w:val="0"/>
        <w:autoSpaceDE w:val="0"/>
        <w:autoSpaceDN w:val="0"/>
        <w:adjustRightInd w:val="0"/>
        <w:spacing w:before="1" w:after="0" w:line="240" w:lineRule="auto"/>
        <w:ind w:right="-1"/>
        <w:rPr>
          <w:rFonts w:ascii="Times New Roman" w:hAnsi="Times New Roman" w:cs="Times New Roman"/>
          <w:sz w:val="18"/>
          <w:szCs w:val="18"/>
          <w:lang w:val="es-ES"/>
        </w:rPr>
      </w:pPr>
    </w:p>
    <w:p w14:paraId="468B1A70"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618224A3"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58C4634B"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01222B89"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16ECE0D7"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187A692F"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2B21DD38"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4D3084D2"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59645BD2"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7A235C41"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39972911"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770F49F6"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b/>
          <w:bCs/>
          <w:sz w:val="20"/>
          <w:szCs w:val="20"/>
          <w:u w:val="single"/>
          <w:lang w:val="es-ES"/>
        </w:rPr>
      </w:pPr>
    </w:p>
    <w:p w14:paraId="45DABCF0" w14:textId="77777777" w:rsidR="00D10B62" w:rsidRDefault="00D10B62" w:rsidP="00D10B62">
      <w:pPr>
        <w:widowControl w:val="0"/>
        <w:autoSpaceDE w:val="0"/>
        <w:autoSpaceDN w:val="0"/>
        <w:adjustRightInd w:val="0"/>
        <w:spacing w:after="0" w:line="240" w:lineRule="auto"/>
        <w:ind w:right="-1"/>
        <w:jc w:val="both"/>
        <w:rPr>
          <w:rFonts w:ascii="Times New Roman" w:hAnsi="Times New Roman" w:cs="Times New Roman"/>
          <w:b/>
          <w:bCs/>
          <w:sz w:val="20"/>
          <w:szCs w:val="20"/>
          <w:lang w:val="es-ES"/>
        </w:rPr>
      </w:pPr>
      <w:bookmarkStart w:id="0" w:name="_GoBack"/>
      <w:bookmarkEnd w:id="0"/>
      <w:r>
        <w:rPr>
          <w:rFonts w:ascii="Trebuchet MS" w:hAnsi="Trebuchet MS" w:cs="Trebuchet MS"/>
          <w:b/>
          <w:bCs/>
          <w:sz w:val="20"/>
          <w:szCs w:val="20"/>
          <w:u w:val="single"/>
          <w:lang w:val="es-ES"/>
        </w:rPr>
        <w:t>A partir del 01 de Marzo de 2014:</w:t>
      </w:r>
    </w:p>
    <w:p w14:paraId="738F215F"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5001FB7" w14:textId="77777777" w:rsidR="00D10B62" w:rsidRDefault="00D10B62" w:rsidP="00D10B62">
      <w:pPr>
        <w:widowControl w:val="0"/>
        <w:autoSpaceDE w:val="0"/>
        <w:autoSpaceDN w:val="0"/>
        <w:adjustRightInd w:val="0"/>
        <w:spacing w:before="10" w:after="0" w:line="240" w:lineRule="auto"/>
        <w:ind w:right="-1"/>
        <w:rPr>
          <w:rFonts w:ascii="Times New Roman" w:hAnsi="Times New Roman" w:cs="Times New Roman"/>
          <w:b/>
          <w:bCs/>
          <w:lang w:val="es-ES"/>
        </w:rPr>
      </w:pPr>
    </w:p>
    <w:tbl>
      <w:tblPr>
        <w:tblW w:w="0" w:type="auto"/>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3462"/>
        <w:gridCol w:w="1260"/>
        <w:gridCol w:w="1440"/>
        <w:gridCol w:w="1260"/>
        <w:gridCol w:w="1440"/>
        <w:gridCol w:w="1307"/>
      </w:tblGrid>
      <w:tr w:rsidR="00D10B62" w14:paraId="49A0ED20" w14:textId="77777777">
        <w:tblPrEx>
          <w:tblCellMar>
            <w:top w:w="0" w:type="dxa"/>
            <w:bottom w:w="0" w:type="dxa"/>
          </w:tblCellMar>
        </w:tblPrEx>
        <w:tc>
          <w:tcPr>
            <w:tcW w:w="3462"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00CD8008"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Salarios Básicos</w:t>
            </w:r>
          </w:p>
        </w:tc>
        <w:tc>
          <w:tcPr>
            <w:tcW w:w="126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66B5707F"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Categoría 1</w:t>
            </w:r>
          </w:p>
        </w:tc>
        <w:tc>
          <w:tcPr>
            <w:tcW w:w="144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59A99DD0"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Categoría 2</w:t>
            </w:r>
          </w:p>
        </w:tc>
        <w:tc>
          <w:tcPr>
            <w:tcW w:w="126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5B182C85"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Categoría 3</w:t>
            </w:r>
          </w:p>
        </w:tc>
        <w:tc>
          <w:tcPr>
            <w:tcW w:w="144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4970E31A"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Categoría 4</w:t>
            </w:r>
          </w:p>
        </w:tc>
        <w:tc>
          <w:tcPr>
            <w:tcW w:w="1307" w:type="dxa"/>
            <w:tcBorders>
              <w:top w:val="single" w:sz="2" w:space="0" w:color="ACA89A"/>
              <w:left w:val="single" w:sz="2" w:space="0" w:color="ACA89A"/>
              <w:bottom w:val="single" w:sz="2" w:space="0" w:color="ACA89A"/>
            </w:tcBorders>
            <w:tcMar>
              <w:top w:w="100" w:type="nil"/>
              <w:right w:w="100" w:type="nil"/>
            </w:tcMar>
          </w:tcPr>
          <w:p w14:paraId="0AC52ECC"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Categoría 5</w:t>
            </w:r>
          </w:p>
        </w:tc>
      </w:tr>
      <w:tr w:rsidR="00D10B62" w14:paraId="3D8976A5" w14:textId="77777777">
        <w:tblPrEx>
          <w:tblBorders>
            <w:top w:val="none" w:sz="0" w:space="0" w:color="auto"/>
          </w:tblBorders>
          <w:tblCellMar>
            <w:top w:w="0" w:type="dxa"/>
            <w:bottom w:w="0" w:type="dxa"/>
          </w:tblCellMar>
        </w:tblPrEx>
        <w:tc>
          <w:tcPr>
            <w:tcW w:w="3462"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3DB5B420"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Agrupamiento MAESTRANZA</w:t>
            </w:r>
          </w:p>
        </w:tc>
        <w:tc>
          <w:tcPr>
            <w:tcW w:w="126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7ECBFEBF"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$ 6.739,00</w:t>
            </w:r>
          </w:p>
        </w:tc>
        <w:tc>
          <w:tcPr>
            <w:tcW w:w="144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72F8DE65"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$ 6.406,00</w:t>
            </w:r>
          </w:p>
        </w:tc>
        <w:tc>
          <w:tcPr>
            <w:tcW w:w="126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5078B004"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$ 6.185,00</w:t>
            </w:r>
          </w:p>
        </w:tc>
        <w:tc>
          <w:tcPr>
            <w:tcW w:w="144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410575E0"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$ 5.968,00</w:t>
            </w:r>
          </w:p>
        </w:tc>
        <w:tc>
          <w:tcPr>
            <w:tcW w:w="1307" w:type="dxa"/>
            <w:tcBorders>
              <w:top w:val="single" w:sz="2" w:space="0" w:color="ACA89A"/>
              <w:left w:val="single" w:sz="2" w:space="0" w:color="ACA89A"/>
              <w:bottom w:val="single" w:sz="2" w:space="0" w:color="ACA89A"/>
            </w:tcBorders>
            <w:tcMar>
              <w:top w:w="100" w:type="nil"/>
              <w:right w:w="100" w:type="nil"/>
            </w:tcMar>
          </w:tcPr>
          <w:p w14:paraId="0987E5D9"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$ 5.889,00</w:t>
            </w:r>
          </w:p>
        </w:tc>
      </w:tr>
      <w:tr w:rsidR="00D10B62" w14:paraId="4D1B6E33" w14:textId="77777777">
        <w:tblPrEx>
          <w:tblBorders>
            <w:top w:val="none" w:sz="0" w:space="0" w:color="auto"/>
            <w:bottom w:val="single" w:sz="2" w:space="0" w:color="ACA89A"/>
          </w:tblBorders>
          <w:tblCellMar>
            <w:top w:w="0" w:type="dxa"/>
            <w:bottom w:w="0" w:type="dxa"/>
          </w:tblCellMar>
        </w:tblPrEx>
        <w:tc>
          <w:tcPr>
            <w:tcW w:w="3462"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5D997659"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Agrupamiento ADMINISTRATIVO</w:t>
            </w:r>
          </w:p>
        </w:tc>
        <w:tc>
          <w:tcPr>
            <w:tcW w:w="126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635E2F70"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$ 166,00</w:t>
            </w:r>
          </w:p>
        </w:tc>
        <w:tc>
          <w:tcPr>
            <w:tcW w:w="144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2F4EC63D"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$ 164,00</w:t>
            </w:r>
          </w:p>
        </w:tc>
        <w:tc>
          <w:tcPr>
            <w:tcW w:w="126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7C17D0DF"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$ 163,00</w:t>
            </w:r>
          </w:p>
        </w:tc>
        <w:tc>
          <w:tcPr>
            <w:tcW w:w="1440"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38B4FC7D"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$ 159,00</w:t>
            </w:r>
          </w:p>
        </w:tc>
        <w:tc>
          <w:tcPr>
            <w:tcW w:w="1307" w:type="dxa"/>
            <w:tcBorders>
              <w:top w:val="single" w:sz="2" w:space="0" w:color="ACA89A"/>
              <w:left w:val="single" w:sz="2" w:space="0" w:color="ACA89A"/>
              <w:bottom w:val="single" w:sz="2" w:space="0" w:color="ACA89A"/>
            </w:tcBorders>
            <w:tcMar>
              <w:top w:w="100" w:type="nil"/>
              <w:right w:w="100" w:type="nil"/>
            </w:tcMar>
          </w:tcPr>
          <w:p w14:paraId="12471C75"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$ 156,00</w:t>
            </w:r>
          </w:p>
        </w:tc>
      </w:tr>
    </w:tbl>
    <w:p w14:paraId="305F6F1F" w14:textId="77777777" w:rsidR="00D10B62" w:rsidRDefault="00D10B62" w:rsidP="00D10B62">
      <w:pPr>
        <w:widowControl w:val="0"/>
        <w:autoSpaceDE w:val="0"/>
        <w:autoSpaceDN w:val="0"/>
        <w:adjustRightInd w:val="0"/>
        <w:spacing w:before="90" w:after="0" w:line="240" w:lineRule="auto"/>
        <w:ind w:right="-1"/>
        <w:rPr>
          <w:rFonts w:ascii="Times New Roman" w:hAnsi="Times New Roman" w:cs="Times New Roman"/>
          <w:b/>
          <w:bCs/>
          <w:sz w:val="20"/>
          <w:szCs w:val="20"/>
          <w:lang w:val="es-ES"/>
        </w:rPr>
      </w:pPr>
      <w:r>
        <w:rPr>
          <w:rFonts w:ascii="Trebuchet MS" w:hAnsi="Trebuchet MS" w:cs="Trebuchet MS"/>
          <w:b/>
          <w:bCs/>
          <w:sz w:val="20"/>
          <w:szCs w:val="20"/>
          <w:u w:val="single"/>
          <w:lang w:val="es-ES"/>
        </w:rPr>
        <w:t>A partir del 01 de Julio de 2014:</w:t>
      </w:r>
    </w:p>
    <w:p w14:paraId="5836D4DF"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A915C55" w14:textId="77777777" w:rsidR="00D10B62" w:rsidRDefault="00D10B62" w:rsidP="00D10B62">
      <w:pPr>
        <w:widowControl w:val="0"/>
        <w:autoSpaceDE w:val="0"/>
        <w:autoSpaceDN w:val="0"/>
        <w:adjustRightInd w:val="0"/>
        <w:spacing w:before="9" w:after="0" w:line="240" w:lineRule="auto"/>
        <w:ind w:right="-1"/>
        <w:rPr>
          <w:rFonts w:ascii="Times New Roman" w:hAnsi="Times New Roman" w:cs="Times New Roman"/>
          <w:b/>
          <w:bCs/>
          <w:lang w:val="es-ES"/>
        </w:rPr>
      </w:pPr>
    </w:p>
    <w:tbl>
      <w:tblPr>
        <w:tblW w:w="0" w:type="auto"/>
        <w:tblBorders>
          <w:top w:val="single" w:sz="2" w:space="0" w:color="ACA89A"/>
          <w:left w:val="single" w:sz="2" w:space="0" w:color="ACA89A"/>
          <w:right w:val="single" w:sz="2" w:space="0" w:color="ACA89A"/>
        </w:tblBorders>
        <w:tblLayout w:type="fixed"/>
        <w:tblLook w:val="0000" w:firstRow="0" w:lastRow="0" w:firstColumn="0" w:lastColumn="0" w:noHBand="0" w:noVBand="0"/>
      </w:tblPr>
      <w:tblGrid>
        <w:gridCol w:w="3397"/>
        <w:gridCol w:w="1355"/>
        <w:gridCol w:w="1356"/>
        <w:gridCol w:w="1355"/>
        <w:gridCol w:w="1355"/>
        <w:gridCol w:w="1351"/>
      </w:tblGrid>
      <w:tr w:rsidR="00D10B62" w14:paraId="60420D5E" w14:textId="77777777">
        <w:tblPrEx>
          <w:tblCellMar>
            <w:top w:w="0" w:type="dxa"/>
            <w:bottom w:w="0" w:type="dxa"/>
          </w:tblCellMar>
        </w:tblPrEx>
        <w:tc>
          <w:tcPr>
            <w:tcW w:w="339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4590033E"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Salarios Básicos</w:t>
            </w:r>
          </w:p>
        </w:tc>
        <w:tc>
          <w:tcPr>
            <w:tcW w:w="1355"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40D93D9C"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Categoría 1</w:t>
            </w:r>
          </w:p>
        </w:tc>
        <w:tc>
          <w:tcPr>
            <w:tcW w:w="1356"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691D6C93"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Categoría 2</w:t>
            </w:r>
          </w:p>
        </w:tc>
        <w:tc>
          <w:tcPr>
            <w:tcW w:w="1355"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28DB3A9D"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Categoría 3</w:t>
            </w:r>
          </w:p>
        </w:tc>
        <w:tc>
          <w:tcPr>
            <w:tcW w:w="1355"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7D64727F"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Categoría 4</w:t>
            </w:r>
          </w:p>
        </w:tc>
        <w:tc>
          <w:tcPr>
            <w:tcW w:w="1351" w:type="dxa"/>
            <w:tcBorders>
              <w:top w:val="single" w:sz="2" w:space="0" w:color="ACA89A"/>
              <w:left w:val="single" w:sz="2" w:space="0" w:color="ACA89A"/>
              <w:bottom w:val="single" w:sz="2" w:space="0" w:color="ACA89A"/>
            </w:tcBorders>
            <w:tcMar>
              <w:top w:w="100" w:type="nil"/>
              <w:right w:w="100" w:type="nil"/>
            </w:tcMar>
          </w:tcPr>
          <w:p w14:paraId="11896DB2"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Categoría 5</w:t>
            </w:r>
          </w:p>
        </w:tc>
      </w:tr>
      <w:tr w:rsidR="00D10B62" w14:paraId="5A351707" w14:textId="77777777">
        <w:tblPrEx>
          <w:tblBorders>
            <w:top w:val="none" w:sz="0" w:space="0" w:color="auto"/>
          </w:tblBorders>
          <w:tblCellMar>
            <w:top w:w="0" w:type="dxa"/>
            <w:bottom w:w="0" w:type="dxa"/>
          </w:tblCellMar>
        </w:tblPrEx>
        <w:tc>
          <w:tcPr>
            <w:tcW w:w="339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6107C8D5"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Agrupamiento MAESTRANZA</w:t>
            </w:r>
          </w:p>
        </w:tc>
        <w:tc>
          <w:tcPr>
            <w:tcW w:w="1355"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02B06C9F"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$ 7.076,00</w:t>
            </w:r>
          </w:p>
        </w:tc>
        <w:tc>
          <w:tcPr>
            <w:tcW w:w="1356"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4543D00D"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$ 6.727,00</w:t>
            </w:r>
          </w:p>
        </w:tc>
        <w:tc>
          <w:tcPr>
            <w:tcW w:w="1355"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559156B8"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$ 6.494,00</w:t>
            </w:r>
          </w:p>
        </w:tc>
        <w:tc>
          <w:tcPr>
            <w:tcW w:w="1355"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43B8B313"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$ 6.267,00</w:t>
            </w:r>
          </w:p>
        </w:tc>
        <w:tc>
          <w:tcPr>
            <w:tcW w:w="1351" w:type="dxa"/>
            <w:tcBorders>
              <w:top w:val="single" w:sz="2" w:space="0" w:color="ACA89A"/>
              <w:left w:val="single" w:sz="2" w:space="0" w:color="ACA89A"/>
              <w:bottom w:val="single" w:sz="2" w:space="0" w:color="ACA89A"/>
            </w:tcBorders>
            <w:tcMar>
              <w:top w:w="100" w:type="nil"/>
              <w:right w:w="100" w:type="nil"/>
            </w:tcMar>
          </w:tcPr>
          <w:p w14:paraId="1FBABEC4"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$ 6.183,00</w:t>
            </w:r>
          </w:p>
        </w:tc>
      </w:tr>
      <w:tr w:rsidR="00D10B62" w14:paraId="6490095E" w14:textId="77777777">
        <w:tblPrEx>
          <w:tblBorders>
            <w:top w:val="none" w:sz="0" w:space="0" w:color="auto"/>
            <w:bottom w:val="single" w:sz="2" w:space="0" w:color="ACA89A"/>
          </w:tblBorders>
          <w:tblCellMar>
            <w:top w:w="0" w:type="dxa"/>
            <w:bottom w:w="0" w:type="dxa"/>
          </w:tblCellMar>
        </w:tblPrEx>
        <w:tc>
          <w:tcPr>
            <w:tcW w:w="3397" w:type="dxa"/>
            <w:tcBorders>
              <w:top w:val="single" w:sz="2" w:space="0" w:color="ACA89A"/>
              <w:left w:val="single" w:sz="2" w:space="0" w:color="ECE9D8"/>
              <w:bottom w:val="single" w:sz="2" w:space="0" w:color="ACA89A"/>
              <w:right w:val="single" w:sz="2" w:space="0" w:color="ACA89A"/>
            </w:tcBorders>
            <w:tcMar>
              <w:top w:w="100" w:type="nil"/>
              <w:right w:w="100" w:type="nil"/>
            </w:tcMar>
          </w:tcPr>
          <w:p w14:paraId="41C15FBA"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Agrupamiento ADMINISTRATIVO</w:t>
            </w:r>
          </w:p>
        </w:tc>
        <w:tc>
          <w:tcPr>
            <w:tcW w:w="1355"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328249E6"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$ 174,00</w:t>
            </w:r>
          </w:p>
        </w:tc>
        <w:tc>
          <w:tcPr>
            <w:tcW w:w="1356"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4B59C28A"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$ 172,00</w:t>
            </w:r>
          </w:p>
        </w:tc>
        <w:tc>
          <w:tcPr>
            <w:tcW w:w="1355"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4D88F4A2"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$ 171,00</w:t>
            </w:r>
          </w:p>
        </w:tc>
        <w:tc>
          <w:tcPr>
            <w:tcW w:w="1355" w:type="dxa"/>
            <w:tcBorders>
              <w:top w:val="single" w:sz="2" w:space="0" w:color="ACA89A"/>
              <w:left w:val="single" w:sz="2" w:space="0" w:color="ACA89A"/>
              <w:bottom w:val="single" w:sz="2" w:space="0" w:color="ACA89A"/>
              <w:right w:val="single" w:sz="2" w:space="0" w:color="ACA89A"/>
            </w:tcBorders>
            <w:tcMar>
              <w:top w:w="100" w:type="nil"/>
              <w:right w:w="100" w:type="nil"/>
            </w:tcMar>
          </w:tcPr>
          <w:p w14:paraId="1A1DD627"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$ 168,00</w:t>
            </w:r>
          </w:p>
        </w:tc>
        <w:tc>
          <w:tcPr>
            <w:tcW w:w="1351" w:type="dxa"/>
            <w:tcBorders>
              <w:top w:val="single" w:sz="2" w:space="0" w:color="ACA89A"/>
              <w:left w:val="single" w:sz="2" w:space="0" w:color="ACA89A"/>
              <w:bottom w:val="single" w:sz="2" w:space="0" w:color="ACA89A"/>
            </w:tcBorders>
            <w:tcMar>
              <w:top w:w="100" w:type="nil"/>
              <w:right w:w="100" w:type="nil"/>
            </w:tcMar>
          </w:tcPr>
          <w:p w14:paraId="05AD4DD8" w14:textId="77777777" w:rsidR="00D10B62" w:rsidRDefault="00D10B62" w:rsidP="00D10B62">
            <w:pPr>
              <w:widowControl w:val="0"/>
              <w:autoSpaceDE w:val="0"/>
              <w:autoSpaceDN w:val="0"/>
              <w:adjustRightInd w:val="0"/>
              <w:spacing w:before="147"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$ 165,00</w:t>
            </w:r>
          </w:p>
        </w:tc>
      </w:tr>
    </w:tbl>
    <w:p w14:paraId="04C45A4E" w14:textId="77777777" w:rsidR="00D10B62" w:rsidRDefault="00D10B62" w:rsidP="00D10B62">
      <w:pPr>
        <w:widowControl w:val="0"/>
        <w:autoSpaceDE w:val="0"/>
        <w:autoSpaceDN w:val="0"/>
        <w:adjustRightInd w:val="0"/>
        <w:spacing w:before="4" w:after="0" w:line="240" w:lineRule="auto"/>
        <w:ind w:right="-1"/>
        <w:rPr>
          <w:rFonts w:ascii="Times New Roman" w:hAnsi="Times New Roman" w:cs="Times New Roman"/>
          <w:b/>
          <w:bCs/>
          <w:sz w:val="12"/>
          <w:szCs w:val="12"/>
          <w:lang w:val="es-ES"/>
        </w:rPr>
      </w:pPr>
    </w:p>
    <w:p w14:paraId="7BC91F2D" w14:textId="77777777" w:rsidR="00D10B62" w:rsidRDefault="00D10B62" w:rsidP="00D10B62">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ARTICULO 2º — Las remuneraciones previstas en los artículos precedentes podrán ser compensadas hasta su concurrencia con los montos que, cualquiera sea su naturaleza o denominación, los empleadores se encontraran abonando a su personal con anterioridad a la entrada en vigencia de la presente resolución. El cumplimiento de esta Resolución no podrá importar en ningún caso disminución alguna de la retribución que el personal percibe en la actualidad.</w:t>
      </w:r>
    </w:p>
    <w:p w14:paraId="6DBDEE11"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A62F199" w14:textId="77777777" w:rsidR="00D10B62" w:rsidRDefault="00D10B62" w:rsidP="00D10B6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ARTICULO 3° — Desglosar la presente Resolución para su registro y archivo previa sustitución por copia autenticada en estos actuados remitiendo copia a los Ministerios de Educación de las Provincias y de la Ciudad Autónoma de Buenos Aires. Notifíquese a la Dirección Nacional de Comercio Interior y a la Administración Federal de Ingresos Públicos a sus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efectos.</w:t>
      </w:r>
    </w:p>
    <w:p w14:paraId="30DB31F5" w14:textId="77777777" w:rsidR="00D10B62" w:rsidRDefault="00D10B62" w:rsidP="00D10B62">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4184065" w14:textId="77777777" w:rsidR="00D10B62" w:rsidRDefault="00D10B62" w:rsidP="00D10B62">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116B4BF8" w14:textId="77777777" w:rsidR="00D10B62" w:rsidRDefault="00D10B62" w:rsidP="00D10B6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4E2470" w14:textId="77777777" w:rsidR="00D10B62" w:rsidRDefault="00D10B62" w:rsidP="00D10B62">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ARTICULO 4º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Dra. ERICA V. COVALSCHI, Presidente, Consejo Gremial de Enseñanza Privada. — Dr. PABLO OLOCCO, Miembro</w:t>
      </w:r>
      <w:r>
        <w:rPr>
          <w:rFonts w:ascii="Trebuchet MS" w:hAnsi="Trebuchet MS" w:cs="Trebuchet MS"/>
          <w:spacing w:val="54"/>
          <w:kern w:val="1"/>
          <w:sz w:val="20"/>
          <w:szCs w:val="20"/>
          <w:lang w:val="es-ES"/>
        </w:rPr>
        <w:t xml:space="preserve"> </w:t>
      </w:r>
      <w:r>
        <w:rPr>
          <w:rFonts w:ascii="Trebuchet MS" w:hAnsi="Trebuchet MS" w:cs="Trebuchet MS"/>
          <w:kern w:val="1"/>
          <w:sz w:val="20"/>
          <w:szCs w:val="20"/>
          <w:lang w:val="es-ES"/>
        </w:rPr>
        <w:t>del</w:t>
      </w:r>
    </w:p>
    <w:p w14:paraId="3CD8B122"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C.G.E.P. — Dr. JAVIER FEDIUK, Miembro del C.G.E.P. — Dr. NORBERTO BALOIRA, Miembro del C.G.E.P. — Dra. ELENA OTAOLA, Miembro del C.G.E.P. — Prof. JOSE L. AIZZA, Miembro del C.G.E.P. — JORGE L. KALINGER, Miembro</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C.G.E.P.</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Dra.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SILVIA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SQUIRE,</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Miembro</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C.G.E.P.</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Prof.</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ENRIQUE</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MARTIN,</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Miembro</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del</w:t>
      </w:r>
    </w:p>
    <w:p w14:paraId="60103406" w14:textId="77777777" w:rsidR="00D10B62" w:rsidRDefault="00D10B62" w:rsidP="00D10B62">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C.G.E.P. — Dr. GUILLERMO MARCONI, Miembro del C.G.E.P. — Prof. EDGARDO RODRIGUEZ, Miembro del C.G.E.P.</w:t>
      </w:r>
    </w:p>
    <w:p w14:paraId="6CDB0543" w14:textId="39F7095A" w:rsidR="00592F1B" w:rsidRPr="00AC3BA6" w:rsidRDefault="00592F1B" w:rsidP="00D10B62">
      <w:pPr>
        <w:ind w:right="-1"/>
      </w:pPr>
    </w:p>
    <w:sectPr w:rsidR="00592F1B" w:rsidRPr="00AC3BA6" w:rsidSect="00D10B62">
      <w:headerReference w:type="default" r:id="rId8"/>
      <w:footerReference w:type="default" r:id="rId9"/>
      <w:pgSz w:w="11906" w:h="16838" w:code="9"/>
      <w:pgMar w:top="1560"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10B62"/>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3174</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2021-05-14T19:24:00Z</dcterms:created>
  <dcterms:modified xsi:type="dcterms:W3CDTF">2021-05-14T19:24:00Z</dcterms:modified>
</cp:coreProperties>
</file>