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36837" w14:textId="77777777" w:rsidR="007E34F7" w:rsidRDefault="007E34F7" w:rsidP="007E34F7">
      <w:pPr>
        <w:widowControl w:val="0"/>
        <w:autoSpaceDE w:val="0"/>
        <w:autoSpaceDN w:val="0"/>
        <w:adjustRightInd w:val="0"/>
        <w:spacing w:before="2" w:after="0" w:line="240" w:lineRule="auto"/>
        <w:ind w:right="-1"/>
        <w:rPr>
          <w:rFonts w:ascii="Times New Roman" w:hAnsi="Times New Roman" w:cs="Times New Roman"/>
          <w:sz w:val="25"/>
          <w:szCs w:val="25"/>
          <w:lang w:val="es-ES"/>
        </w:rPr>
      </w:pPr>
    </w:p>
    <w:p w14:paraId="3441ACDF" w14:textId="77777777" w:rsidR="007E34F7" w:rsidRDefault="007E34F7" w:rsidP="007E34F7">
      <w:pPr>
        <w:widowControl w:val="0"/>
        <w:autoSpaceDE w:val="0"/>
        <w:autoSpaceDN w:val="0"/>
        <w:adjustRightInd w:val="0"/>
        <w:spacing w:after="0" w:line="20" w:lineRule="exact"/>
        <w:ind w:right="-1"/>
        <w:rPr>
          <w:rFonts w:ascii="Times New Roman" w:hAnsi="Times New Roman" w:cs="Times New Roman"/>
          <w:sz w:val="2"/>
          <w:szCs w:val="2"/>
          <w:lang w:val="es-ES"/>
        </w:rPr>
      </w:pPr>
    </w:p>
    <w:p w14:paraId="5691A4E7"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C700D1B" w14:textId="77777777" w:rsidR="007E34F7" w:rsidRDefault="007E34F7" w:rsidP="007E34F7">
      <w:pPr>
        <w:widowControl w:val="0"/>
        <w:autoSpaceDE w:val="0"/>
        <w:autoSpaceDN w:val="0"/>
        <w:adjustRightInd w:val="0"/>
        <w:spacing w:before="6" w:after="0" w:line="240" w:lineRule="auto"/>
        <w:ind w:right="-1"/>
        <w:rPr>
          <w:rFonts w:ascii="Times New Roman" w:hAnsi="Times New Roman" w:cs="Times New Roman"/>
          <w:sz w:val="21"/>
          <w:szCs w:val="21"/>
          <w:lang w:val="es-ES"/>
        </w:rPr>
      </w:pPr>
    </w:p>
    <w:p w14:paraId="14C1E003" w14:textId="77777777" w:rsidR="007E34F7" w:rsidRDefault="007E34F7" w:rsidP="007E34F7">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TOPE INDEMNIZATORIO PARA EL SECTOR COMPRENDIDO EN EL CONVENIO </w:t>
      </w:r>
    </w:p>
    <w:p w14:paraId="61B3A0D2" w14:textId="6CBB8E48" w:rsidR="007E34F7" w:rsidRDefault="007E34F7" w:rsidP="007E34F7">
      <w:pPr>
        <w:widowControl w:val="0"/>
        <w:autoSpaceDE w:val="0"/>
        <w:autoSpaceDN w:val="0"/>
        <w:adjustRightInd w:val="0"/>
        <w:spacing w:after="0" w:line="24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COLECTIVO DE TRABAJO 88 / 90</w:t>
      </w:r>
    </w:p>
    <w:p w14:paraId="432D743A" w14:textId="77777777" w:rsidR="007E34F7" w:rsidRDefault="007E34F7" w:rsidP="007E34F7">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 PARTIR DEL 1° DE AGOSTO DE 2010</w:t>
      </w:r>
    </w:p>
    <w:p w14:paraId="41D0AA0A"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D181AB8" w14:textId="77777777" w:rsidR="007E34F7" w:rsidRDefault="007E34F7" w:rsidP="007E34F7">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sz w:val="20"/>
          <w:szCs w:val="20"/>
          <w:lang w:val="es-ES"/>
        </w:rPr>
        <w:t>MINISTERIO DE TRABAJO, EMPLEO Y SEGURIDAD</w:t>
      </w:r>
      <w:r>
        <w:rPr>
          <w:rFonts w:ascii="Trebuchet MS" w:hAnsi="Trebuchet MS" w:cs="Trebuchet MS"/>
          <w:b/>
          <w:bCs/>
          <w:spacing w:val="-30"/>
          <w:kern w:val="1"/>
          <w:sz w:val="20"/>
          <w:szCs w:val="20"/>
          <w:lang w:val="es-ES"/>
        </w:rPr>
        <w:t xml:space="preserve"> </w:t>
      </w:r>
      <w:r>
        <w:rPr>
          <w:rFonts w:ascii="Trebuchet MS" w:hAnsi="Trebuchet MS" w:cs="Trebuchet MS"/>
          <w:b/>
          <w:bCs/>
          <w:kern w:val="1"/>
          <w:sz w:val="20"/>
          <w:szCs w:val="20"/>
          <w:lang w:val="es-ES"/>
        </w:rPr>
        <w:t>SOCIAL SECRETARÍA 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TRABAJO</w:t>
      </w:r>
    </w:p>
    <w:p w14:paraId="20C603ED" w14:textId="77777777" w:rsidR="007E34F7" w:rsidRDefault="007E34F7" w:rsidP="007E34F7">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79150F8" w14:textId="77777777" w:rsidR="007E34F7" w:rsidRDefault="007E34F7" w:rsidP="007E34F7">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Nº</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704/2011</w:t>
      </w:r>
    </w:p>
    <w:p w14:paraId="4CDC2AEF" w14:textId="77777777" w:rsidR="007E34F7" w:rsidRDefault="007E34F7" w:rsidP="007E34F7">
      <w:pPr>
        <w:widowControl w:val="0"/>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356801CB" w14:textId="77777777" w:rsidR="007E34F7" w:rsidRDefault="007E34F7" w:rsidP="007E34F7">
      <w:pPr>
        <w:widowControl w:val="0"/>
        <w:autoSpaceDE w:val="0"/>
        <w:autoSpaceDN w:val="0"/>
        <w:adjustRightInd w:val="0"/>
        <w:spacing w:before="9" w:after="0" w:line="240" w:lineRule="auto"/>
        <w:ind w:right="-1"/>
        <w:rPr>
          <w:rFonts w:ascii="Times New Roman" w:hAnsi="Times New Roman" w:cs="Times New Roman"/>
          <w:b/>
          <w:bCs/>
          <w:kern w:val="1"/>
          <w:sz w:val="7"/>
          <w:szCs w:val="7"/>
          <w:lang w:val="es-ES"/>
        </w:rPr>
      </w:pPr>
    </w:p>
    <w:p w14:paraId="7219A2F5" w14:textId="77777777" w:rsidR="007E34F7" w:rsidRDefault="007E34F7" w:rsidP="007E34F7">
      <w:pPr>
        <w:widowControl w:val="0"/>
        <w:autoSpaceDE w:val="0"/>
        <w:autoSpaceDN w:val="0"/>
        <w:adjustRightInd w:val="0"/>
        <w:spacing w:before="100" w:after="0" w:line="240" w:lineRule="auto"/>
        <w:ind w:right="-1"/>
        <w:jc w:val="right"/>
        <w:rPr>
          <w:rFonts w:ascii="Verdana" w:hAnsi="Verdana" w:cs="Verdana"/>
          <w:kern w:val="1"/>
          <w:sz w:val="18"/>
          <w:szCs w:val="18"/>
          <w:lang w:val="es-ES"/>
        </w:rPr>
      </w:pPr>
      <w:r>
        <w:rPr>
          <w:rFonts w:ascii="Verdana" w:hAnsi="Verdana" w:cs="Verdana"/>
          <w:kern w:val="1"/>
          <w:sz w:val="18"/>
          <w:szCs w:val="18"/>
          <w:lang w:val="es-ES"/>
        </w:rPr>
        <w:t>Bs. As., 6/7/2011</w:t>
      </w:r>
    </w:p>
    <w:p w14:paraId="5C8D8584"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lang w:val="es-ES"/>
        </w:rPr>
      </w:pPr>
    </w:p>
    <w:p w14:paraId="3C48042D" w14:textId="77777777" w:rsidR="007E34F7" w:rsidRDefault="007E34F7" w:rsidP="007E34F7">
      <w:pPr>
        <w:widowControl w:val="0"/>
        <w:autoSpaceDE w:val="0"/>
        <w:autoSpaceDN w:val="0"/>
        <w:adjustRightInd w:val="0"/>
        <w:spacing w:before="16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VISTO</w:t>
      </w:r>
    </w:p>
    <w:p w14:paraId="31D5096A"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4D703E5"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Expediente N° 1.388.058/10 del Registro del MINISTERIO DE TRABAJO, EMPLEO Y SEGURIDAD SOCIAL, la Ley N°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 la Ley N°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y sus modificatorias, la Resolución de la SECRETARIA DE TRABAJO N° 247 del 4 abril de 2011, y</w:t>
      </w:r>
    </w:p>
    <w:p w14:paraId="57BD409B"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64610A"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FEB713C"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663D1E7" w14:textId="77777777" w:rsidR="007E34F7" w:rsidRDefault="007E34F7" w:rsidP="007E34F7">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6E787337"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DE8FF31"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a fojas 31/32 del Expediente N° 1.388.058/10 obran las escalas salariales pactadas entre el SINDICATO ARGENTINO  DE  EMPLEADOS  Y  OBREROS  DE  LA  ENSEÑANZA  PRIVADA,  la  ASOCIACION  DE  INSTITUTOS </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DE</w:t>
      </w:r>
    </w:p>
    <w:p w14:paraId="0E92B82C"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ENSEÑANZA PRIVADA y el CONSEJO SUPERIOR DE EDUCACION CATOLICA, en el marco del Convenio Colectivo de</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N°</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88/90,</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conforme</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lo</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dispuesto</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Ley</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Negociación</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Colectiva</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N°</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14.250</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2004).</w:t>
      </w:r>
    </w:p>
    <w:p w14:paraId="2DB01A65" w14:textId="77777777" w:rsidR="007E34F7" w:rsidRDefault="007E34F7" w:rsidP="007E34F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7F16730"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escalas precitadas forman parte del Acuerdo homologado por la Resolución S.T. N° 247/11 y registrado bajo el N° 397/11, conforme surge de fojas 56/58 y 61, respectivamente.</w:t>
      </w:r>
    </w:p>
    <w:p w14:paraId="631075C0"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823460"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segundo párrafo del artículo 245 de la Ley N°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y sus modificatorias, le imponen al MINISTERIO DE TRABAJO, EMPLEO Y SEGURIDAD SOCIAL la obligación de fijar y publicar los promedios de las remuneraciones y los topes indemnizatorios aplicables al cálculo de la indemnización que les corresponde a los trabajadores en casos de extinción injustificada del contrato de trabajo.</w:t>
      </w:r>
    </w:p>
    <w:p w14:paraId="631FF062" w14:textId="77777777" w:rsidR="007E34F7" w:rsidRDefault="007E34F7" w:rsidP="007E34F7">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B55D191"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de conformidad con la citada norma legal, el tope indemnizatorio que se fija por la presente se determinó triplicando el importe promedio mensual de las remuneraciones de la escala salarial y sus respectivos rubros conexos considerados.</w:t>
      </w:r>
    </w:p>
    <w:p w14:paraId="06558C15"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EBC465"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fojas 73/81, obra el informe técnico elaborado por la Dirección Nacional de Regulaciones del Trabajo dependiente de esta Secretaría, por el que se indican las constancias y se explicitan los criterios adoptados para el cálculo de la base promedio mensual y del tope indemnizatorio objeto de la presente, cuyos términos se comparten en esta instancia y al cual se remite en orden a la brevedad.</w:t>
      </w:r>
    </w:p>
    <w:p w14:paraId="61DA0419"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3DC0FC6" w14:textId="77777777" w:rsidR="007E34F7" w:rsidRDefault="007E34F7" w:rsidP="007E34F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ejercicio de las atribuciones conferidas en el segundo párrafo del artículo 245 de la Ley de Contrato de Trabajo N°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y en el Decreto N° 357 del 21 de febrero de 2002, modificado por sus similares N° 628 y N° 2204 de fechas 13 de junio de 2005 y 30 de diciembre de 2010, respectivamente.</w:t>
      </w:r>
    </w:p>
    <w:p w14:paraId="2C55C67E"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ACA603" w14:textId="77777777" w:rsidR="007E34F7" w:rsidRDefault="007E34F7" w:rsidP="007E34F7">
      <w:pPr>
        <w:widowControl w:val="0"/>
        <w:autoSpaceDE w:val="0"/>
        <w:autoSpaceDN w:val="0"/>
        <w:adjustRightInd w:val="0"/>
        <w:spacing w:after="0" w:line="231"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0769C3EB" w14:textId="77777777" w:rsidR="007E34F7" w:rsidRDefault="007E34F7" w:rsidP="007E34F7">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SECRETARIA DE TRABAJO RESUELVE:</w:t>
      </w:r>
    </w:p>
    <w:p w14:paraId="7F8DC78A" w14:textId="77777777" w:rsidR="007E34F7" w:rsidRDefault="007E34F7" w:rsidP="007E34F7">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7D2CE9AC" w14:textId="77777777" w:rsidR="007E34F7" w:rsidRDefault="007E34F7" w:rsidP="007E34F7">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xml:space="preserve">ARTICULO 1° — </w:t>
      </w:r>
      <w:proofErr w:type="spellStart"/>
      <w:r>
        <w:rPr>
          <w:rFonts w:ascii="Trebuchet MS" w:hAnsi="Trebuchet MS" w:cs="Trebuchet MS"/>
          <w:kern w:val="1"/>
          <w:sz w:val="20"/>
          <w:szCs w:val="20"/>
          <w:lang w:val="es-ES"/>
        </w:rPr>
        <w:t>Fíjase</w:t>
      </w:r>
      <w:proofErr w:type="spellEnd"/>
      <w:r>
        <w:rPr>
          <w:rFonts w:ascii="Trebuchet MS" w:hAnsi="Trebuchet MS" w:cs="Trebuchet MS"/>
          <w:kern w:val="1"/>
          <w:sz w:val="20"/>
          <w:szCs w:val="20"/>
          <w:lang w:val="es-ES"/>
        </w:rPr>
        <w:t xml:space="preserve"> el importe promedio de las remuneraciones y el tope indemnizatorio correspondiente al</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Acuerdo</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homologado</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Resolución</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SECRETARIA</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N°</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247</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4</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abril</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2011</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y</w:t>
      </w:r>
    </w:p>
    <w:p w14:paraId="3F0D6518" w14:textId="77777777" w:rsidR="007E34F7" w:rsidRDefault="007E34F7" w:rsidP="007E34F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registrado bajo el N° 397/11 suscripto entre el SINDICATO ARGENTINO DE EMPLEADOS Y OBREROS DE LA ENSEÑANZA PRIVADA, la ASOCIACION DE INSTITUTOS DE ENSEÑANZA PRIVADA y el CONSEJO SUPERIOR DE</w:t>
      </w:r>
    </w:p>
    <w:p w14:paraId="7FEC1C10"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EDUCACION CATOLICA, conforme al detalle que, como ANEXO, forma parte integrante de la presente.</w:t>
      </w:r>
    </w:p>
    <w:p w14:paraId="1FFD838E"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ACAE3C"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ARTICULO 2° — Regístrese la presente Resolución en el Departamento Despacho de la Dirección de Despacho, Mesa de Entradas y Archivo dependiente de la SUBSECRETARIA DE COORDINACION. Cumplido ello, pase a la Dirección Nacional de Relaciones del Trabajo a fin de que el Departamento Coordinación registre el importe promedio de las remuneraciones y del tope indemnizatorio fijado por este acto.</w:t>
      </w:r>
    </w:p>
    <w:p w14:paraId="0AA510DD"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849253"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ARTICULO 3° — Remítase copia debidamente autenticada al Departamento Biblioteca para su difusión.</w:t>
      </w:r>
    </w:p>
    <w:p w14:paraId="6DEE6226"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385080"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ARTICULO 4° — Gírese a la Dirección de Negociación Colectiva para la notificación a las partes signatarias, posteriormente procédase a la guarda del presente legajo.</w:t>
      </w:r>
    </w:p>
    <w:p w14:paraId="247532B7" w14:textId="77777777" w:rsidR="007E34F7" w:rsidRDefault="007E34F7" w:rsidP="007E34F7">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F2765D4"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ARTICULO 5° — Hágase saber que en el supuesto que el MINISTERIO DE TRABAJO, EMPLEO Y SEGURIDAD SOCIAL no efectúe la publicación de carácter gratuito del importe promedio de las remuneraciones y del tope indemnizatorio fijado por la presente, las partes deberán proceder de acuerdo a lo establecido en el Artículo 5° de la Ley N°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2004).</w:t>
      </w:r>
    </w:p>
    <w:p w14:paraId="657A5D91" w14:textId="77777777" w:rsidR="007E34F7" w:rsidRDefault="007E34F7" w:rsidP="007E34F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2645E91" w14:textId="77777777" w:rsidR="007E34F7" w:rsidRDefault="007E34F7" w:rsidP="007E34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ARTICULO 6° —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Dra. NOEMI RIAL, Secretaria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7F8CA0D0" w14:textId="77777777" w:rsidR="007E34F7" w:rsidRDefault="007E34F7" w:rsidP="007E34F7">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510237FC" w14:textId="77777777" w:rsidR="007E34F7" w:rsidRDefault="007E34F7" w:rsidP="007E34F7">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w:t>
      </w:r>
    </w:p>
    <w:p w14:paraId="5D2A9217"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5336A80"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lang w:val="es-ES"/>
        </w:rPr>
      </w:pPr>
    </w:p>
    <w:p w14:paraId="60898AC9"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lang w:val="es-ES"/>
        </w:rPr>
      </w:pPr>
    </w:p>
    <w:p w14:paraId="179E3C81" w14:textId="77777777" w:rsidR="007E34F7" w:rsidRDefault="007E34F7" w:rsidP="007E34F7">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Expediente N° 1.388.058/10</w:t>
      </w:r>
    </w:p>
    <w:p w14:paraId="2C83E187" w14:textId="77777777" w:rsidR="007E34F7" w:rsidRDefault="007E34F7" w:rsidP="007E34F7">
      <w:pPr>
        <w:widowControl w:val="0"/>
        <w:autoSpaceDE w:val="0"/>
        <w:autoSpaceDN w:val="0"/>
        <w:adjustRightInd w:val="0"/>
        <w:spacing w:before="2" w:after="1" w:line="240" w:lineRule="auto"/>
        <w:ind w:right="-1"/>
        <w:rPr>
          <w:rFonts w:ascii="Times New Roman" w:hAnsi="Times New Roman" w:cs="Times New Roman"/>
          <w:b/>
          <w:bCs/>
          <w:kern w:val="1"/>
          <w:lang w:val="es-ES"/>
        </w:rPr>
      </w:pPr>
    </w:p>
    <w:tbl>
      <w:tblPr>
        <w:tblW w:w="0" w:type="auto"/>
        <w:tblBorders>
          <w:top w:val="nil"/>
          <w:left w:val="nil"/>
          <w:right w:val="nil"/>
        </w:tblBorders>
        <w:tblLayout w:type="fixed"/>
        <w:tblLook w:val="0000" w:firstRow="0" w:lastRow="0" w:firstColumn="0" w:lastColumn="0" w:noHBand="0" w:noVBand="0"/>
      </w:tblPr>
      <w:tblGrid>
        <w:gridCol w:w="4491"/>
        <w:gridCol w:w="2008"/>
        <w:gridCol w:w="1370"/>
        <w:gridCol w:w="2127"/>
      </w:tblGrid>
      <w:tr w:rsidR="007E34F7" w14:paraId="13C76D16" w14:textId="77777777">
        <w:tblPrEx>
          <w:tblCellMar>
            <w:top w:w="0" w:type="dxa"/>
            <w:bottom w:w="0" w:type="dxa"/>
          </w:tblCellMar>
        </w:tblPrEx>
        <w:tc>
          <w:tcPr>
            <w:tcW w:w="4491" w:type="dxa"/>
            <w:tcBorders>
              <w:top w:val="single" w:sz="8" w:space="0" w:color="BFBFBF"/>
              <w:left w:val="single" w:sz="8" w:space="0" w:color="BFBFBF"/>
              <w:bottom w:val="single" w:sz="6" w:space="0" w:color="656565"/>
              <w:right w:val="single" w:sz="8" w:space="0" w:color="BFBFBF"/>
            </w:tcBorders>
            <w:tcMar>
              <w:top w:w="100" w:type="nil"/>
              <w:right w:w="100" w:type="nil"/>
            </w:tcMar>
          </w:tcPr>
          <w:p w14:paraId="5A6FC884" w14:textId="77777777" w:rsidR="007E34F7" w:rsidRDefault="007E34F7" w:rsidP="007E34F7">
            <w:pPr>
              <w:widowControl w:val="0"/>
              <w:autoSpaceDE w:val="0"/>
              <w:autoSpaceDN w:val="0"/>
              <w:adjustRightInd w:val="0"/>
              <w:spacing w:before="151"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PARTES SIGNATARIAS</w:t>
            </w:r>
          </w:p>
        </w:tc>
        <w:tc>
          <w:tcPr>
            <w:tcW w:w="2008" w:type="dxa"/>
            <w:tcBorders>
              <w:top w:val="single" w:sz="8" w:space="0" w:color="BFBFBF"/>
              <w:left w:val="single" w:sz="8" w:space="0" w:color="BFBFBF"/>
              <w:bottom w:val="single" w:sz="6" w:space="0" w:color="656565"/>
              <w:right w:val="single" w:sz="8" w:space="0" w:color="BFBFBF"/>
            </w:tcBorders>
            <w:shd w:val="clear" w:color="auto" w:fill="FFFFFF"/>
            <w:tcMar>
              <w:top w:w="100" w:type="nil"/>
              <w:right w:w="100" w:type="nil"/>
            </w:tcMar>
          </w:tcPr>
          <w:p w14:paraId="0D6C4CF1" w14:textId="77777777" w:rsidR="007E34F7" w:rsidRDefault="007E34F7" w:rsidP="007E34F7">
            <w:pPr>
              <w:widowControl w:val="0"/>
              <w:autoSpaceDE w:val="0"/>
              <w:autoSpaceDN w:val="0"/>
              <w:adjustRightInd w:val="0"/>
              <w:spacing w:before="157" w:after="0" w:line="218" w:lineRule="exact"/>
              <w:ind w:right="-1"/>
              <w:jc w:val="center"/>
              <w:rPr>
                <w:rFonts w:ascii="Verdana" w:hAnsi="Verdana" w:cs="Verdana"/>
                <w:b/>
                <w:bCs/>
                <w:kern w:val="1"/>
                <w:sz w:val="18"/>
                <w:szCs w:val="18"/>
                <w:lang w:val="es-ES"/>
              </w:rPr>
            </w:pPr>
            <w:r>
              <w:rPr>
                <w:rFonts w:ascii="Verdana" w:hAnsi="Verdana" w:cs="Verdana"/>
                <w:b/>
                <w:bCs/>
                <w:kern w:val="1"/>
                <w:sz w:val="18"/>
                <w:szCs w:val="18"/>
                <w:lang w:val="es-ES"/>
              </w:rPr>
              <w:t>FECHA DE ENTRADA EN VIGENCIA</w:t>
            </w:r>
          </w:p>
        </w:tc>
        <w:tc>
          <w:tcPr>
            <w:tcW w:w="1370" w:type="dxa"/>
            <w:tcBorders>
              <w:top w:val="single" w:sz="8" w:space="0" w:color="BFBFBF"/>
              <w:left w:val="single" w:sz="8" w:space="0" w:color="BFBFBF"/>
              <w:bottom w:val="single" w:sz="6" w:space="0" w:color="656565"/>
              <w:right w:val="single" w:sz="8" w:space="0" w:color="BFBFBF"/>
            </w:tcBorders>
            <w:shd w:val="clear" w:color="auto" w:fill="FFFFFF"/>
            <w:tcMar>
              <w:top w:w="100" w:type="nil"/>
              <w:right w:w="100" w:type="nil"/>
            </w:tcMar>
          </w:tcPr>
          <w:p w14:paraId="0ED07CFD" w14:textId="77777777" w:rsidR="007E34F7" w:rsidRDefault="007E34F7" w:rsidP="007E34F7">
            <w:pPr>
              <w:widowControl w:val="0"/>
              <w:autoSpaceDE w:val="0"/>
              <w:autoSpaceDN w:val="0"/>
              <w:adjustRightInd w:val="0"/>
              <w:spacing w:before="151"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BASE PROMEDIO</w:t>
            </w:r>
          </w:p>
        </w:tc>
        <w:tc>
          <w:tcPr>
            <w:tcW w:w="2127" w:type="dxa"/>
            <w:tcBorders>
              <w:top w:val="single" w:sz="8" w:space="0" w:color="BFBFBF"/>
              <w:left w:val="single" w:sz="8" w:space="0" w:color="BFBFBF"/>
              <w:bottom w:val="single" w:sz="6" w:space="0" w:color="656565"/>
              <w:right w:val="single" w:sz="8" w:space="0" w:color="BFBFBF"/>
            </w:tcBorders>
            <w:tcMar>
              <w:top w:w="100" w:type="nil"/>
              <w:right w:w="100" w:type="nil"/>
            </w:tcMar>
          </w:tcPr>
          <w:p w14:paraId="6F57BBAA" w14:textId="77777777" w:rsidR="007E34F7" w:rsidRDefault="007E34F7" w:rsidP="007E34F7">
            <w:pPr>
              <w:widowControl w:val="0"/>
              <w:autoSpaceDE w:val="0"/>
              <w:autoSpaceDN w:val="0"/>
              <w:adjustRightInd w:val="0"/>
              <w:spacing w:before="151"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TOPE INDEMNIZATORIO</w:t>
            </w:r>
          </w:p>
        </w:tc>
      </w:tr>
      <w:tr w:rsidR="007E34F7" w14:paraId="5F0127FF" w14:textId="77777777">
        <w:tblPrEx>
          <w:tblBorders>
            <w:top w:val="none" w:sz="0" w:space="0" w:color="auto"/>
          </w:tblBorders>
          <w:tblCellMar>
            <w:top w:w="0" w:type="dxa"/>
            <w:bottom w:w="0" w:type="dxa"/>
          </w:tblCellMar>
        </w:tblPrEx>
        <w:tc>
          <w:tcPr>
            <w:tcW w:w="4491" w:type="dxa"/>
            <w:vMerge w:val="restart"/>
            <w:tcBorders>
              <w:top w:val="single" w:sz="6" w:space="0" w:color="656565"/>
              <w:left w:val="single" w:sz="8" w:space="0" w:color="BFBFBF"/>
              <w:bottom w:val="single" w:sz="6" w:space="0" w:color="656565"/>
              <w:right w:val="single" w:sz="8" w:space="0" w:color="BFBFBF"/>
            </w:tcBorders>
            <w:tcMar>
              <w:top w:w="100" w:type="nil"/>
              <w:right w:w="100" w:type="nil"/>
            </w:tcMar>
          </w:tcPr>
          <w:p w14:paraId="64B09013" w14:textId="77777777" w:rsidR="007E34F7" w:rsidRDefault="007E34F7" w:rsidP="007E34F7">
            <w:pPr>
              <w:widowControl w:val="0"/>
              <w:autoSpaceDE w:val="0"/>
              <w:autoSpaceDN w:val="0"/>
              <w:adjustRightInd w:val="0"/>
              <w:spacing w:before="181"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SINDICATO ARGENTINO DE EMPLEADOS Y OBREROS DE LA ENSEÑANZA PRIVADA</w:t>
            </w:r>
          </w:p>
          <w:p w14:paraId="649413C0" w14:textId="77777777" w:rsidR="007E34F7" w:rsidRDefault="007E34F7" w:rsidP="007E34F7">
            <w:pPr>
              <w:widowControl w:val="0"/>
              <w:autoSpaceDE w:val="0"/>
              <w:autoSpaceDN w:val="0"/>
              <w:adjustRightInd w:val="0"/>
              <w:spacing w:after="0" w:line="219" w:lineRule="exact"/>
              <w:ind w:right="-1"/>
              <w:rPr>
                <w:rFonts w:ascii="Verdana" w:hAnsi="Verdana" w:cs="Verdana"/>
                <w:b/>
                <w:bCs/>
                <w:kern w:val="1"/>
                <w:sz w:val="18"/>
                <w:szCs w:val="18"/>
                <w:lang w:val="es-ES"/>
              </w:rPr>
            </w:pPr>
            <w:r>
              <w:rPr>
                <w:rFonts w:ascii="Verdana" w:hAnsi="Verdana" w:cs="Verdana"/>
                <w:b/>
                <w:bCs/>
                <w:kern w:val="1"/>
                <w:sz w:val="18"/>
                <w:szCs w:val="18"/>
                <w:lang w:val="es-ES"/>
              </w:rPr>
              <w:t>C/</w:t>
            </w:r>
          </w:p>
          <w:p w14:paraId="1FC68757" w14:textId="77777777" w:rsidR="007E34F7" w:rsidRDefault="007E34F7" w:rsidP="007E34F7">
            <w:pPr>
              <w:widowControl w:val="0"/>
              <w:autoSpaceDE w:val="0"/>
              <w:autoSpaceDN w:val="0"/>
              <w:adjustRightInd w:val="0"/>
              <w:spacing w:after="0" w:line="240" w:lineRule="auto"/>
              <w:ind w:right="-1"/>
              <w:jc w:val="both"/>
              <w:rPr>
                <w:rFonts w:ascii="Verdana" w:hAnsi="Verdana" w:cs="Verdana"/>
                <w:b/>
                <w:bCs/>
                <w:kern w:val="1"/>
                <w:sz w:val="18"/>
                <w:szCs w:val="18"/>
                <w:lang w:val="es-ES"/>
              </w:rPr>
            </w:pPr>
            <w:r>
              <w:rPr>
                <w:rFonts w:ascii="Verdana" w:hAnsi="Verdana" w:cs="Verdana"/>
                <w:b/>
                <w:bCs/>
                <w:kern w:val="1"/>
                <w:sz w:val="18"/>
                <w:szCs w:val="18"/>
                <w:lang w:val="es-ES"/>
              </w:rPr>
              <w:t>ASOCIACION DE INSTITUTOS DE ENSE ÑANZA PRIVADA, CONSEJO SUPERIOR DE EDUCACION CATOLICA</w:t>
            </w:r>
          </w:p>
          <w:p w14:paraId="1E42DF3D" w14:textId="77777777" w:rsidR="007E34F7" w:rsidRDefault="007E34F7" w:rsidP="007E34F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67AD758" w14:textId="77777777" w:rsidR="007E34F7" w:rsidRDefault="007E34F7" w:rsidP="007E34F7">
            <w:pPr>
              <w:widowControl w:val="0"/>
              <w:autoSpaceDE w:val="0"/>
              <w:autoSpaceDN w:val="0"/>
              <w:adjustRightInd w:val="0"/>
              <w:spacing w:before="1" w:after="0" w:line="240" w:lineRule="auto"/>
              <w:ind w:right="-1"/>
              <w:jc w:val="both"/>
              <w:rPr>
                <w:rFonts w:ascii="Verdana" w:hAnsi="Verdana" w:cs="Verdana"/>
                <w:b/>
                <w:bCs/>
                <w:kern w:val="1"/>
                <w:sz w:val="18"/>
                <w:szCs w:val="18"/>
                <w:lang w:val="es-ES"/>
              </w:rPr>
            </w:pPr>
            <w:r>
              <w:rPr>
                <w:rFonts w:ascii="Verdana" w:hAnsi="Verdana" w:cs="Verdana"/>
                <w:b/>
                <w:bCs/>
                <w:kern w:val="1"/>
                <w:sz w:val="18"/>
                <w:szCs w:val="18"/>
                <w:lang w:val="es-ES"/>
              </w:rPr>
              <w:t>CCT N° 88/90</w:t>
            </w:r>
          </w:p>
        </w:tc>
        <w:tc>
          <w:tcPr>
            <w:tcW w:w="2008" w:type="dxa"/>
            <w:vMerge w:val="restart"/>
            <w:tcBorders>
              <w:top w:val="single" w:sz="6" w:space="0" w:color="656565"/>
              <w:left w:val="single" w:sz="8" w:space="0" w:color="BFBFBF"/>
              <w:bottom w:val="single" w:sz="8" w:space="0" w:color="BFBFBF"/>
              <w:right w:val="single" w:sz="8" w:space="0" w:color="BFBFBF"/>
            </w:tcBorders>
            <w:shd w:val="clear" w:color="auto" w:fill="FFFFFF"/>
            <w:tcMar>
              <w:top w:w="100" w:type="nil"/>
              <w:right w:w="100" w:type="nil"/>
            </w:tcMar>
          </w:tcPr>
          <w:p w14:paraId="31A3F694" w14:textId="77777777" w:rsidR="007E34F7" w:rsidRDefault="007E34F7" w:rsidP="007E34F7">
            <w:pPr>
              <w:widowControl w:val="0"/>
              <w:autoSpaceDE w:val="0"/>
              <w:autoSpaceDN w:val="0"/>
              <w:adjustRightInd w:val="0"/>
              <w:spacing w:before="181"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01/08/2010</w:t>
            </w:r>
          </w:p>
        </w:tc>
        <w:tc>
          <w:tcPr>
            <w:tcW w:w="1370" w:type="dxa"/>
            <w:tcBorders>
              <w:top w:val="single" w:sz="6" w:space="0" w:color="656565"/>
              <w:left w:val="single" w:sz="8" w:space="0" w:color="BFBFBF"/>
              <w:bottom w:val="single" w:sz="8" w:space="0" w:color="BFBFBF"/>
              <w:right w:val="single" w:sz="8" w:space="0" w:color="BFBFBF"/>
            </w:tcBorders>
            <w:shd w:val="clear" w:color="auto" w:fill="FFFFFF"/>
            <w:tcMar>
              <w:top w:w="100" w:type="nil"/>
              <w:right w:w="100" w:type="nil"/>
            </w:tcMar>
          </w:tcPr>
          <w:p w14:paraId="7A375AA9" w14:textId="77777777" w:rsidR="007E34F7" w:rsidRDefault="007E34F7" w:rsidP="007E34F7">
            <w:pPr>
              <w:widowControl w:val="0"/>
              <w:autoSpaceDE w:val="0"/>
              <w:autoSpaceDN w:val="0"/>
              <w:adjustRightInd w:val="0"/>
              <w:spacing w:after="0" w:line="240" w:lineRule="auto"/>
              <w:ind w:right="-1"/>
              <w:rPr>
                <w:rFonts w:ascii="Times New Roman" w:hAnsi="Times New Roman" w:cs="Times New Roman"/>
                <w:kern w:val="1"/>
                <w:sz w:val="10"/>
                <w:szCs w:val="10"/>
                <w:lang w:val="es-ES"/>
              </w:rPr>
            </w:pPr>
          </w:p>
        </w:tc>
        <w:tc>
          <w:tcPr>
            <w:tcW w:w="2127" w:type="dxa"/>
            <w:vMerge w:val="restart"/>
            <w:tcBorders>
              <w:top w:val="single" w:sz="6" w:space="0" w:color="656565"/>
              <w:left w:val="single" w:sz="8" w:space="0" w:color="BFBFBF"/>
              <w:bottom w:val="single" w:sz="6" w:space="0" w:color="656565"/>
              <w:right w:val="single" w:sz="8" w:space="0" w:color="BFBFBF"/>
            </w:tcBorders>
            <w:tcMar>
              <w:top w:w="100" w:type="nil"/>
              <w:right w:w="100" w:type="nil"/>
            </w:tcMar>
          </w:tcPr>
          <w:p w14:paraId="389E0FDD" w14:textId="77777777" w:rsidR="007E34F7" w:rsidRDefault="007E34F7" w:rsidP="007E34F7">
            <w:pPr>
              <w:widowControl w:val="0"/>
              <w:autoSpaceDE w:val="0"/>
              <w:autoSpaceDN w:val="0"/>
              <w:adjustRightInd w:val="0"/>
              <w:spacing w:before="181"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7.509,15</w:t>
            </w:r>
          </w:p>
          <w:p w14:paraId="22D35E8A"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1DE9207"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7.576,80</w:t>
            </w:r>
          </w:p>
          <w:p w14:paraId="7294CB5D" w14:textId="77777777" w:rsidR="007E34F7" w:rsidRDefault="007E34F7" w:rsidP="007E34F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14AB129"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7.644,45</w:t>
            </w:r>
          </w:p>
          <w:p w14:paraId="397B4DD5"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4A65B959"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7.712,10</w:t>
            </w:r>
          </w:p>
          <w:p w14:paraId="3B84646C" w14:textId="77777777" w:rsidR="007E34F7" w:rsidRDefault="007E34F7" w:rsidP="007E34F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10D5BF3"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7.779,75</w:t>
            </w:r>
          </w:p>
          <w:p w14:paraId="588D5583"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4116736F" w14:textId="77777777" w:rsidR="007E34F7" w:rsidRDefault="007E34F7" w:rsidP="007E34F7">
            <w:pPr>
              <w:widowControl w:val="0"/>
              <w:autoSpaceDE w:val="0"/>
              <w:autoSpaceDN w:val="0"/>
              <w:adjustRightInd w:val="0"/>
              <w:spacing w:before="1"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7.847,40</w:t>
            </w:r>
          </w:p>
          <w:p w14:paraId="155731EF"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4D2351AD" w14:textId="77777777" w:rsidR="007E34F7" w:rsidRDefault="007E34F7" w:rsidP="007E34F7">
            <w:pPr>
              <w:widowControl w:val="0"/>
              <w:autoSpaceDE w:val="0"/>
              <w:autoSpaceDN w:val="0"/>
              <w:adjustRightInd w:val="0"/>
              <w:spacing w:after="0" w:line="212" w:lineRule="exact"/>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7.983,12</w:t>
            </w:r>
          </w:p>
        </w:tc>
      </w:tr>
      <w:tr w:rsidR="007E34F7" w14:paraId="1EA7D7EC" w14:textId="77777777">
        <w:tblPrEx>
          <w:tblBorders>
            <w:top w:val="none" w:sz="0" w:space="0" w:color="auto"/>
          </w:tblBorders>
          <w:tblCellMar>
            <w:top w:w="0" w:type="dxa"/>
            <w:bottom w:w="0" w:type="dxa"/>
          </w:tblCellMar>
        </w:tblPrEx>
        <w:trPr>
          <w:trHeight w:val="219"/>
        </w:trPr>
        <w:tc>
          <w:tcPr>
            <w:tcW w:w="4491" w:type="dxa"/>
            <w:vMerge/>
            <w:tcBorders>
              <w:top w:val="single" w:sz="6" w:space="0" w:color="656565"/>
              <w:left w:val="single" w:sz="8" w:space="0" w:color="BFBFBF"/>
              <w:bottom w:val="single" w:sz="6" w:space="0" w:color="656565"/>
              <w:right w:val="single" w:sz="8" w:space="0" w:color="BFBFBF"/>
            </w:tcBorders>
            <w:tcMar>
              <w:top w:w="100" w:type="nil"/>
              <w:right w:w="100" w:type="nil"/>
            </w:tcMar>
          </w:tcPr>
          <w:p w14:paraId="4A684CC9"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p>
        </w:tc>
        <w:tc>
          <w:tcPr>
            <w:tcW w:w="2008" w:type="dxa"/>
            <w:vMerge/>
            <w:tcBorders>
              <w:top w:val="single" w:sz="6" w:space="0" w:color="656565"/>
              <w:left w:val="single" w:sz="8" w:space="0" w:color="BFBFBF"/>
              <w:bottom w:val="single" w:sz="8" w:space="0" w:color="BFBFBF"/>
              <w:right w:val="single" w:sz="8" w:space="0" w:color="BFBFBF"/>
            </w:tcBorders>
            <w:shd w:val="clear" w:color="auto" w:fill="FFFFFF"/>
            <w:tcMar>
              <w:top w:w="100" w:type="nil"/>
              <w:right w:w="100" w:type="nil"/>
            </w:tcMar>
          </w:tcPr>
          <w:p w14:paraId="1E568B1F"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p>
        </w:tc>
        <w:tc>
          <w:tcPr>
            <w:tcW w:w="1370" w:type="dxa"/>
            <w:vMerge w:val="restart"/>
            <w:tcBorders>
              <w:top w:val="single" w:sz="8" w:space="0" w:color="BFBFBF"/>
              <w:left w:val="single" w:sz="2" w:space="0" w:color="FFFFFF"/>
              <w:bottom w:val="single" w:sz="6" w:space="0" w:color="656565"/>
              <w:right w:val="single" w:sz="2" w:space="0" w:color="FFFFFF"/>
            </w:tcBorders>
            <w:tcMar>
              <w:top w:w="100" w:type="nil"/>
              <w:right w:w="100" w:type="nil"/>
            </w:tcMar>
          </w:tcPr>
          <w:p w14:paraId="7923DE67" w14:textId="77777777" w:rsidR="007E34F7" w:rsidRDefault="007E34F7" w:rsidP="007E34F7">
            <w:pPr>
              <w:widowControl w:val="0"/>
              <w:autoSpaceDE w:val="0"/>
              <w:autoSpaceDN w:val="0"/>
              <w:adjustRightInd w:val="0"/>
              <w:spacing w:after="0" w:line="211" w:lineRule="exact"/>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2.503,05</w:t>
            </w:r>
          </w:p>
          <w:p w14:paraId="701813D2"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66BD499C"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2.525,60</w:t>
            </w:r>
          </w:p>
          <w:p w14:paraId="06BDDC4A" w14:textId="77777777" w:rsidR="007E34F7" w:rsidRDefault="007E34F7" w:rsidP="007E34F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CB8A49A"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2.548,15</w:t>
            </w:r>
          </w:p>
          <w:p w14:paraId="128F77BF"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4F19F06"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2.570,70</w:t>
            </w:r>
          </w:p>
          <w:p w14:paraId="646E6B57" w14:textId="77777777" w:rsidR="007E34F7" w:rsidRDefault="007E34F7" w:rsidP="007E34F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B18D15A"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2.593,25</w:t>
            </w:r>
          </w:p>
          <w:p w14:paraId="0224675B"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499DB2B3"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2.615,80</w:t>
            </w:r>
          </w:p>
          <w:p w14:paraId="41DD500D" w14:textId="77777777" w:rsidR="007E34F7" w:rsidRDefault="007E34F7" w:rsidP="007E34F7">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6254D717" w14:textId="77777777" w:rsidR="007E34F7" w:rsidRDefault="007E34F7" w:rsidP="007E34F7">
            <w:pPr>
              <w:widowControl w:val="0"/>
              <w:autoSpaceDE w:val="0"/>
              <w:autoSpaceDN w:val="0"/>
              <w:adjustRightInd w:val="0"/>
              <w:spacing w:after="0" w:line="212" w:lineRule="exact"/>
              <w:ind w:right="-1"/>
              <w:rPr>
                <w:rFonts w:ascii="Verdana" w:hAnsi="Verdana" w:cs="Verdana"/>
                <w:b/>
                <w:bCs/>
                <w:kern w:val="1"/>
                <w:sz w:val="18"/>
                <w:szCs w:val="18"/>
                <w:lang w:val="es-ES"/>
              </w:rPr>
            </w:pPr>
            <w:r>
              <w:rPr>
                <w:rFonts w:ascii="Verdana" w:hAnsi="Verdana" w:cs="Verdana"/>
                <w:b/>
                <w:bCs/>
                <w:kern w:val="1"/>
                <w:sz w:val="18"/>
                <w:szCs w:val="18"/>
                <w:lang w:val="es-ES"/>
              </w:rPr>
              <w:t>$</w:t>
            </w:r>
            <w:r>
              <w:rPr>
                <w:rFonts w:ascii="Verdana" w:hAnsi="Verdana" w:cs="Verdana"/>
                <w:b/>
                <w:bCs/>
                <w:spacing w:val="-2"/>
                <w:kern w:val="1"/>
                <w:sz w:val="18"/>
                <w:szCs w:val="18"/>
                <w:lang w:val="es-ES"/>
              </w:rPr>
              <w:t xml:space="preserve"> </w:t>
            </w:r>
            <w:r>
              <w:rPr>
                <w:rFonts w:ascii="Verdana" w:hAnsi="Verdana" w:cs="Verdana"/>
                <w:b/>
                <w:bCs/>
                <w:kern w:val="1"/>
                <w:sz w:val="18"/>
                <w:szCs w:val="18"/>
                <w:lang w:val="es-ES"/>
              </w:rPr>
              <w:t>2.661,04</w:t>
            </w:r>
          </w:p>
        </w:tc>
        <w:tc>
          <w:tcPr>
            <w:tcW w:w="2127" w:type="dxa"/>
            <w:vMerge/>
            <w:tcBorders>
              <w:top w:val="single" w:sz="6" w:space="0" w:color="656565"/>
              <w:left w:val="single" w:sz="8" w:space="0" w:color="BFBFBF"/>
              <w:bottom w:val="single" w:sz="6" w:space="0" w:color="656565"/>
              <w:right w:val="single" w:sz="8" w:space="0" w:color="BFBFBF"/>
            </w:tcBorders>
            <w:tcMar>
              <w:top w:w="100" w:type="nil"/>
              <w:right w:w="100" w:type="nil"/>
            </w:tcMar>
          </w:tcPr>
          <w:p w14:paraId="6BCC7B6C"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p>
        </w:tc>
      </w:tr>
      <w:tr w:rsidR="007E34F7" w14:paraId="0771ACCB" w14:textId="77777777">
        <w:tblPrEx>
          <w:tblCellMar>
            <w:top w:w="0" w:type="dxa"/>
            <w:bottom w:w="0" w:type="dxa"/>
          </w:tblCellMar>
        </w:tblPrEx>
        <w:tc>
          <w:tcPr>
            <w:tcW w:w="4491" w:type="dxa"/>
            <w:vMerge/>
            <w:tcBorders>
              <w:top w:val="single" w:sz="6" w:space="0" w:color="656565"/>
              <w:left w:val="single" w:sz="8" w:space="0" w:color="BFBFBF"/>
              <w:bottom w:val="single" w:sz="6" w:space="0" w:color="656565"/>
              <w:right w:val="single" w:sz="8" w:space="0" w:color="BFBFBF"/>
            </w:tcBorders>
            <w:tcMar>
              <w:top w:w="100" w:type="nil"/>
              <w:right w:w="100" w:type="nil"/>
            </w:tcMar>
          </w:tcPr>
          <w:p w14:paraId="28132B9D"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p>
        </w:tc>
        <w:tc>
          <w:tcPr>
            <w:tcW w:w="2008" w:type="dxa"/>
            <w:tcBorders>
              <w:top w:val="single" w:sz="8" w:space="0" w:color="BFBFBF"/>
              <w:left w:val="single" w:sz="2" w:space="0" w:color="FFFFFF"/>
              <w:bottom w:val="single" w:sz="6" w:space="0" w:color="656565"/>
              <w:right w:val="single" w:sz="2" w:space="0" w:color="FFFFFF"/>
            </w:tcBorders>
            <w:tcMar>
              <w:top w:w="100" w:type="nil"/>
              <w:right w:w="100" w:type="nil"/>
            </w:tcMar>
          </w:tcPr>
          <w:p w14:paraId="027CE654" w14:textId="77777777" w:rsidR="007E34F7" w:rsidRDefault="007E34F7" w:rsidP="007E34F7">
            <w:pPr>
              <w:widowControl w:val="0"/>
              <w:autoSpaceDE w:val="0"/>
              <w:autoSpaceDN w:val="0"/>
              <w:adjustRightInd w:val="0"/>
              <w:spacing w:after="0" w:line="211" w:lineRule="exact"/>
              <w:ind w:right="-1"/>
              <w:rPr>
                <w:rFonts w:ascii="Verdana" w:hAnsi="Verdana" w:cs="Verdana"/>
                <w:b/>
                <w:bCs/>
                <w:kern w:val="1"/>
                <w:sz w:val="18"/>
                <w:szCs w:val="18"/>
                <w:lang w:val="es-ES"/>
              </w:rPr>
            </w:pPr>
            <w:r>
              <w:rPr>
                <w:rFonts w:ascii="Verdana" w:hAnsi="Verdana" w:cs="Verdana"/>
                <w:b/>
                <w:bCs/>
                <w:kern w:val="1"/>
                <w:sz w:val="18"/>
                <w:szCs w:val="18"/>
                <w:lang w:val="es-ES"/>
              </w:rPr>
              <w:t>01/09/2010</w:t>
            </w:r>
          </w:p>
          <w:p w14:paraId="0C9CD227" w14:textId="77777777" w:rsidR="007E34F7" w:rsidRDefault="007E34F7" w:rsidP="007E34F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736C708"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01/10/2010</w:t>
            </w:r>
          </w:p>
          <w:p w14:paraId="0B7E7CD4"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0E87902F"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01/11/2010</w:t>
            </w:r>
          </w:p>
          <w:p w14:paraId="01B31346" w14:textId="77777777" w:rsidR="007E34F7" w:rsidRDefault="007E34F7" w:rsidP="007E34F7">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DF720BF"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01/12/2010</w:t>
            </w:r>
          </w:p>
          <w:p w14:paraId="1CB021B3"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C098022"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r>
              <w:rPr>
                <w:rFonts w:ascii="Verdana" w:hAnsi="Verdana" w:cs="Verdana"/>
                <w:b/>
                <w:bCs/>
                <w:kern w:val="1"/>
                <w:sz w:val="18"/>
                <w:szCs w:val="18"/>
                <w:lang w:val="es-ES"/>
              </w:rPr>
              <w:t>01/01/2011</w:t>
            </w:r>
          </w:p>
          <w:p w14:paraId="0385635C"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F416D15" w14:textId="77777777" w:rsidR="007E34F7" w:rsidRDefault="007E34F7" w:rsidP="007E34F7">
            <w:pPr>
              <w:widowControl w:val="0"/>
              <w:autoSpaceDE w:val="0"/>
              <w:autoSpaceDN w:val="0"/>
              <w:adjustRightInd w:val="0"/>
              <w:spacing w:after="0" w:line="212" w:lineRule="exact"/>
              <w:ind w:right="-1"/>
              <w:rPr>
                <w:rFonts w:ascii="Verdana" w:hAnsi="Verdana" w:cs="Verdana"/>
                <w:b/>
                <w:bCs/>
                <w:kern w:val="1"/>
                <w:sz w:val="18"/>
                <w:szCs w:val="18"/>
                <w:lang w:val="es-ES"/>
              </w:rPr>
            </w:pPr>
            <w:r>
              <w:rPr>
                <w:rFonts w:ascii="Verdana" w:hAnsi="Verdana" w:cs="Verdana"/>
                <w:b/>
                <w:bCs/>
                <w:kern w:val="1"/>
                <w:sz w:val="18"/>
                <w:szCs w:val="18"/>
                <w:lang w:val="es-ES"/>
              </w:rPr>
              <w:t>01/02/2011</w:t>
            </w:r>
          </w:p>
        </w:tc>
        <w:tc>
          <w:tcPr>
            <w:tcW w:w="1370" w:type="dxa"/>
            <w:vMerge/>
            <w:tcBorders>
              <w:top w:val="single" w:sz="8" w:space="0" w:color="BFBFBF"/>
              <w:left w:val="single" w:sz="2" w:space="0" w:color="FFFFFF"/>
              <w:bottom w:val="single" w:sz="6" w:space="0" w:color="656565"/>
              <w:right w:val="single" w:sz="2" w:space="0" w:color="FFFFFF"/>
            </w:tcBorders>
            <w:tcMar>
              <w:top w:w="100" w:type="nil"/>
              <w:right w:w="100" w:type="nil"/>
            </w:tcMar>
          </w:tcPr>
          <w:p w14:paraId="7C027BFE"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p>
        </w:tc>
        <w:tc>
          <w:tcPr>
            <w:tcW w:w="2127" w:type="dxa"/>
            <w:vMerge/>
            <w:tcBorders>
              <w:top w:val="single" w:sz="6" w:space="0" w:color="656565"/>
              <w:left w:val="single" w:sz="8" w:space="0" w:color="BFBFBF"/>
              <w:bottom w:val="single" w:sz="6" w:space="0" w:color="656565"/>
              <w:right w:val="single" w:sz="8" w:space="0" w:color="BFBFBF"/>
            </w:tcBorders>
            <w:tcMar>
              <w:top w:w="100" w:type="nil"/>
              <w:right w:w="100" w:type="nil"/>
            </w:tcMar>
          </w:tcPr>
          <w:p w14:paraId="065BB66A" w14:textId="77777777" w:rsidR="007E34F7" w:rsidRDefault="007E34F7" w:rsidP="007E34F7">
            <w:pPr>
              <w:widowControl w:val="0"/>
              <w:autoSpaceDE w:val="0"/>
              <w:autoSpaceDN w:val="0"/>
              <w:adjustRightInd w:val="0"/>
              <w:spacing w:after="0" w:line="240" w:lineRule="auto"/>
              <w:ind w:right="-1"/>
              <w:rPr>
                <w:rFonts w:ascii="Verdana" w:hAnsi="Verdana" w:cs="Verdana"/>
                <w:b/>
                <w:bCs/>
                <w:kern w:val="1"/>
                <w:sz w:val="18"/>
                <w:szCs w:val="18"/>
                <w:lang w:val="es-ES"/>
              </w:rPr>
            </w:pPr>
          </w:p>
        </w:tc>
      </w:tr>
    </w:tbl>
    <w:p w14:paraId="2EFEA8A3" w14:textId="77777777" w:rsidR="007E34F7" w:rsidRDefault="007E34F7" w:rsidP="007E34F7">
      <w:pPr>
        <w:widowControl w:val="0"/>
        <w:autoSpaceDE w:val="0"/>
        <w:autoSpaceDN w:val="0"/>
        <w:adjustRightInd w:val="0"/>
        <w:spacing w:before="10" w:after="0" w:line="240" w:lineRule="auto"/>
        <w:ind w:right="-1"/>
        <w:rPr>
          <w:rFonts w:ascii="Times New Roman" w:hAnsi="Times New Roman" w:cs="Times New Roman"/>
          <w:b/>
          <w:bCs/>
          <w:kern w:val="1"/>
          <w:sz w:val="12"/>
          <w:szCs w:val="12"/>
          <w:lang w:val="es-ES"/>
        </w:rPr>
      </w:pPr>
    </w:p>
    <w:p w14:paraId="7A98343A" w14:textId="77777777" w:rsidR="007E34F7" w:rsidRDefault="007E34F7" w:rsidP="007E34F7">
      <w:pPr>
        <w:widowControl w:val="0"/>
        <w:autoSpaceDE w:val="0"/>
        <w:autoSpaceDN w:val="0"/>
        <w:adjustRightInd w:val="0"/>
        <w:spacing w:before="100" w:after="0" w:line="480" w:lineRule="auto"/>
        <w:ind w:right="-1"/>
        <w:jc w:val="both"/>
        <w:rPr>
          <w:rFonts w:ascii="Verdana" w:hAnsi="Verdana" w:cs="Verdana"/>
          <w:kern w:val="1"/>
          <w:sz w:val="18"/>
          <w:szCs w:val="18"/>
          <w:lang w:val="es-ES"/>
        </w:rPr>
      </w:pPr>
      <w:r>
        <w:rPr>
          <w:rFonts w:ascii="Verdana" w:hAnsi="Verdana" w:cs="Verdana"/>
          <w:kern w:val="1"/>
          <w:sz w:val="18"/>
          <w:szCs w:val="18"/>
          <w:lang w:val="es-ES"/>
        </w:rPr>
        <w:t>Expediente N° 1.388.058/10 Buenos Aires, 8 de julio de 2011</w:t>
      </w:r>
    </w:p>
    <w:p w14:paraId="3C188C0F" w14:textId="77777777" w:rsidR="007E34F7" w:rsidRDefault="007E34F7" w:rsidP="007E34F7">
      <w:pPr>
        <w:widowControl w:val="0"/>
        <w:autoSpaceDE w:val="0"/>
        <w:autoSpaceDN w:val="0"/>
        <w:adjustRightInd w:val="0"/>
        <w:spacing w:after="0" w:line="240" w:lineRule="auto"/>
        <w:ind w:right="-1"/>
        <w:jc w:val="both"/>
        <w:rPr>
          <w:rFonts w:ascii="Verdana" w:hAnsi="Verdana" w:cs="Verdana"/>
          <w:kern w:val="1"/>
          <w:sz w:val="18"/>
          <w:szCs w:val="18"/>
          <w:lang w:val="es-ES"/>
        </w:rPr>
      </w:pPr>
      <w:r>
        <w:rPr>
          <w:rFonts w:ascii="Verdana" w:hAnsi="Verdana" w:cs="Verdana"/>
          <w:kern w:val="1"/>
          <w:sz w:val="18"/>
          <w:szCs w:val="18"/>
          <w:lang w:val="es-ES"/>
        </w:rPr>
        <w:t>De conformidad con lo ordenado en la RESOLUCION ST N° 704/11, se ha tomado razón del tope indemnizatorio obrante en el expediente de referencia, quedando registrado con el número 325/11 T. — VALERIA ANDREA VALETTI, Registro de Convenios Colectivos, Departamento Coordinación - D.N.R.T.</w:t>
      </w:r>
    </w:p>
    <w:p w14:paraId="6CDB0543" w14:textId="39F7095A" w:rsidR="00592F1B" w:rsidRPr="00AC3BA6" w:rsidRDefault="00592F1B" w:rsidP="007E34F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7E34F7"/>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4293</Characters>
  <Application>Microsoft Macintosh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2021-05-18T12:52:00Z</dcterms:created>
  <dcterms:modified xsi:type="dcterms:W3CDTF">2021-05-18T12:52:00Z</dcterms:modified>
</cp:coreProperties>
</file>