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EAABB" w14:textId="77777777" w:rsidR="00335470" w:rsidRDefault="00335470" w:rsidP="00335470">
      <w:pPr>
        <w:widowControl w:val="0"/>
        <w:autoSpaceDE w:val="0"/>
        <w:autoSpaceDN w:val="0"/>
        <w:adjustRightInd w:val="0"/>
        <w:spacing w:before="1" w:after="0" w:line="240" w:lineRule="auto"/>
        <w:ind w:right="-1"/>
        <w:rPr>
          <w:rFonts w:ascii="Times New Roman" w:hAnsi="Times New Roman" w:cs="Times New Roman"/>
          <w:sz w:val="5"/>
          <w:szCs w:val="5"/>
          <w:lang w:val="es-ES"/>
        </w:rPr>
      </w:pPr>
    </w:p>
    <w:p w14:paraId="3DB8A67E" w14:textId="77777777" w:rsidR="00335470" w:rsidRDefault="00335470" w:rsidP="00335470">
      <w:pPr>
        <w:widowControl w:val="0"/>
        <w:autoSpaceDE w:val="0"/>
        <w:autoSpaceDN w:val="0"/>
        <w:adjustRightInd w:val="0"/>
        <w:spacing w:after="0" w:line="20" w:lineRule="exact"/>
        <w:ind w:right="-1"/>
        <w:rPr>
          <w:rFonts w:ascii="Times New Roman" w:hAnsi="Times New Roman" w:cs="Times New Roman"/>
          <w:sz w:val="2"/>
          <w:szCs w:val="2"/>
          <w:lang w:val="es-ES"/>
        </w:rPr>
      </w:pPr>
    </w:p>
    <w:p w14:paraId="6FD81274" w14:textId="77777777" w:rsidR="00335470" w:rsidRDefault="00335470" w:rsidP="00335470">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F48CE72"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573BD690" w14:textId="77777777" w:rsidR="00335470" w:rsidRDefault="00335470" w:rsidP="00335470">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EXCLUSIÓN DEL REGIMEN DE LA LEY 24714 PARA LOS ESTABLECIMIENTOS </w:t>
      </w:r>
    </w:p>
    <w:p w14:paraId="3724D13E" w14:textId="2DA33A04" w:rsidR="00335470" w:rsidRDefault="00335470" w:rsidP="00335470">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EDUCATIVOS SECRETARIA DE SEGURIDAD SOCIAL</w:t>
      </w:r>
    </w:p>
    <w:p w14:paraId="1A7C0B98" w14:textId="77777777" w:rsidR="00335470" w:rsidRDefault="00335470" w:rsidP="00335470">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71 / 1999.</w:t>
      </w:r>
    </w:p>
    <w:p w14:paraId="23D5986B" w14:textId="77777777" w:rsidR="00335470" w:rsidRDefault="00335470" w:rsidP="00335470">
      <w:pPr>
        <w:widowControl w:val="0"/>
        <w:autoSpaceDE w:val="0"/>
        <w:autoSpaceDN w:val="0"/>
        <w:adjustRightInd w:val="0"/>
        <w:spacing w:after="0" w:line="240" w:lineRule="auto"/>
        <w:ind w:right="-1"/>
        <w:rPr>
          <w:rFonts w:ascii="Times New Roman" w:hAnsi="Times New Roman" w:cs="Times New Roman"/>
          <w:b/>
          <w:bCs/>
          <w:lang w:val="es-ES"/>
        </w:rPr>
      </w:pPr>
    </w:p>
    <w:p w14:paraId="5444FE50" w14:textId="77777777" w:rsidR="00335470" w:rsidRDefault="00335470" w:rsidP="00335470">
      <w:pPr>
        <w:widowControl w:val="0"/>
        <w:autoSpaceDE w:val="0"/>
        <w:autoSpaceDN w:val="0"/>
        <w:adjustRightInd w:val="0"/>
        <w:spacing w:before="179"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Buenos Aires, 30 de septiembre 1999</w:t>
      </w:r>
    </w:p>
    <w:p w14:paraId="75DD1ACD" w14:textId="77777777" w:rsidR="00335470" w:rsidRDefault="00335470" w:rsidP="00335470">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3E5A1F36" w14:textId="77777777" w:rsidR="00335470" w:rsidRDefault="00335470" w:rsidP="00335470">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226C3475"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2C253E2D"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los expedientes Nº 1-0250-73.945/99 del registro del MINISTERIO DE TRABAJO Y SEGURIDAD SOCIAL y Nº 13.289-5.682/99 del registro de la ADMINISTRACIÓN FEDERAL DE INGRESOS PÚBLICOS (AFIP), y</w:t>
      </w:r>
    </w:p>
    <w:p w14:paraId="2BCF1DBD" w14:textId="77777777" w:rsidR="00335470" w:rsidRDefault="00335470" w:rsidP="00335470">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43B4A9E3" w14:textId="77777777" w:rsidR="00335470" w:rsidRDefault="00335470" w:rsidP="00335470">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04E63539"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0E947153"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en las mencionadas actuaciones se plantea el tema relativo a si los establecimientos privados de enseñanza, está o no comprendidos en el régimen de asignaciones familiares instituido por la Ley Nº 24.714.</w:t>
      </w:r>
    </w:p>
    <w:p w14:paraId="6FCC37AB" w14:textId="77777777" w:rsidR="00335470" w:rsidRDefault="00335470" w:rsidP="00335470">
      <w:pPr>
        <w:widowControl w:val="0"/>
        <w:autoSpaceDE w:val="0"/>
        <w:autoSpaceDN w:val="0"/>
        <w:adjustRightInd w:val="0"/>
        <w:spacing w:after="0" w:line="240" w:lineRule="auto"/>
        <w:ind w:right="-1"/>
        <w:rPr>
          <w:rFonts w:ascii="Times New Roman" w:hAnsi="Times New Roman" w:cs="Times New Roman"/>
          <w:sz w:val="19"/>
          <w:szCs w:val="19"/>
          <w:lang w:val="es-ES"/>
        </w:rPr>
      </w:pPr>
    </w:p>
    <w:p w14:paraId="61E069CE" w14:textId="77777777" w:rsidR="00335470" w:rsidRDefault="00335470" w:rsidP="00335470">
      <w:pPr>
        <w:widowControl w:val="0"/>
        <w:autoSpaceDE w:val="0"/>
        <w:autoSpaceDN w:val="0"/>
        <w:adjustRightInd w:val="0"/>
        <w:spacing w:before="1" w:after="0" w:line="235" w:lineRule="auto"/>
        <w:ind w:right="-1"/>
        <w:jc w:val="both"/>
        <w:rPr>
          <w:rFonts w:ascii="Trebuchet MS" w:hAnsi="Trebuchet MS" w:cs="Trebuchet MS"/>
          <w:sz w:val="19"/>
          <w:szCs w:val="19"/>
          <w:lang w:val="es-ES"/>
        </w:rPr>
      </w:pPr>
      <w:r>
        <w:rPr>
          <w:rFonts w:ascii="Trebuchet MS" w:hAnsi="Trebuchet MS" w:cs="Trebuchet MS"/>
          <w:sz w:val="19"/>
          <w:szCs w:val="19"/>
          <w:lang w:val="es-ES"/>
        </w:rPr>
        <w:t>Que la Ley Nº 13.047, sancionada en septiembre de 1947, constituye el Estatuto de los Establecimientos Privados de Enseñanza.</w:t>
      </w:r>
    </w:p>
    <w:p w14:paraId="7947DDD2" w14:textId="77777777" w:rsidR="00335470" w:rsidRDefault="00335470" w:rsidP="00335470">
      <w:pPr>
        <w:widowControl w:val="0"/>
        <w:autoSpaceDE w:val="0"/>
        <w:autoSpaceDN w:val="0"/>
        <w:adjustRightInd w:val="0"/>
        <w:spacing w:before="10" w:after="0" w:line="240" w:lineRule="auto"/>
        <w:ind w:right="-1"/>
        <w:rPr>
          <w:rFonts w:ascii="Times New Roman" w:hAnsi="Times New Roman" w:cs="Times New Roman"/>
          <w:sz w:val="18"/>
          <w:szCs w:val="18"/>
          <w:lang w:val="es-ES"/>
        </w:rPr>
      </w:pPr>
    </w:p>
    <w:p w14:paraId="5515C743"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el artículo de la ley precedentemente citada creó el CONSEJO GREMIAL DE ENSEÑANZA PRIVADA (CGEP), cuyas atribuciones son, entre otras “intervenir en la fiscalización de las relaciones emergentes del contrato de empleo privado en la enseñanza “ y “resolver las cuestiones relativas al sueldo, estabilidad, inamovilidad y condiciones de trabajo del personal, que no estén contempladas en el Estatuto” (artículo 31).</w:t>
      </w:r>
    </w:p>
    <w:p w14:paraId="3F8A267D" w14:textId="77777777" w:rsidR="00335470" w:rsidRDefault="00335470" w:rsidP="00335470">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31F35863"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Decreto-Ley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7913,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15</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julio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1957,</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modificado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Decretos-Leyes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8879/57</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16.811/57 y Ley Nº 15.223, se instituyó un régimen de subsidios familiares, con carácter nacional y obligatorio, originariamente para el personal de las empresas comprendidas en el convenio colectivo de trabajo Nº 108 - Actualización 1956 -, que paulatinamente se fue extendiendo a la totalidad del personal de las actividades civiles, comerciales y rurales (artículo 12 de la Ley Nº 16.459), cualquier fuera la índole de las tareas que desempeñen y el régimen de previsión al que estén afiliados, incluso el personal jerárquico (artículo 10 del Decreto-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16.811/57),</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excepción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público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16.459).</w:t>
      </w:r>
    </w:p>
    <w:p w14:paraId="5F9292AC"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11BFFB"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gobierno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subsidios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familiares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puso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CAJA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SUBSIDIOS FAMILIARES PARA EMPLEADOS DE COMERCIO - CASFEC - (artículos 2º y siguientes del Decreto-Ley Nº 16.811/57).</w:t>
      </w:r>
    </w:p>
    <w:p w14:paraId="64FEBE72" w14:textId="77777777" w:rsidR="00335470" w:rsidRDefault="00335470" w:rsidP="00335470">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1BDD1972"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ante reiteradas y coincidentes resoluciones adoptadas por el CGEP en el sentido de que el personal de los institutos privados de enseñanza es ajeno al ámbito de los Decretos-Leyes Nº 7913/57 y 16.811/57, así como al de la Ley Nº 15.223 y su decreto reglamentario Nº 3225/60, y que debe continuar percibiendo el subsidio familiar de acuerdo con lo preceptuado por las Leyes Nº 14.473 (Estatuto del Docente) y 13.047, el Directorio de la Caja de Subsidios Familiares para Empleados de Comercio estableció, por Resolución Nº 134, de fecha 22 de noviembre de 1963, que no están incluidos en su régimen los establecimientos educativos privados comprendidos en el Estatuto del Personal Docente de los Establecimientos de Enseñanza Privada.</w:t>
      </w:r>
    </w:p>
    <w:p w14:paraId="0C25F1D3"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6BAE31A"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considerandos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mencionada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hace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valer,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otros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argumentos,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circunstancia de que en ejercicio de las facultades que le otorga la Ley Nº 13.047, el CGEP instituyó oportunamente el subsidio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familiar,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favor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dichos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consistente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asignación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mensual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 cada hijo menor de DIECISÉIS (16) años, o mayor de esa edad si se halla incapacitado, prácticamente igual al que a ese momento pagaba la CAJA DE SUBSIDIOS PARA EMPLEADOS DE COMERCIO (CASFEC) a sus beneficiarios,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además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bonificación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esposa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cargo,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esposo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incapacitado,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situación.</w:t>
      </w:r>
    </w:p>
    <w:p w14:paraId="6AA71FCE" w14:textId="77777777" w:rsidR="00335470" w:rsidRDefault="00335470" w:rsidP="00335470">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tema de la inclusión o no de los establecimientos privados de enseñanza en el régimen general de asignaciones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familiares,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replanteó</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raíz</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sanción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16.459,</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Salario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Mínimo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Móvil,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cuyo artículo 12 estableció que las asignaciones familiares se abonarán a los trabajadores que presten servicios en la actividad privada, conforme al régimen fijado, entre otros, por el Decreto-Ley Nº 7913, sus modificatorios y la Ley Nº 15.225; y que quedan incorporadas al sistema de los textos legales citados, todas las actividades que tengan establecidos regímenes de salario familiar sin compensación</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propia.</w:t>
      </w:r>
    </w:p>
    <w:p w14:paraId="287C06FE"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24F9FE"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Consejo Nacional del Salario Vital Mínimo y Móvil se expidió en el sentido de que conforme a las atribuciones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otorgadas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13.047,</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competencia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CGEP</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fijar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remuneraciones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acuerdo con la Ley 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16.459.</w:t>
      </w:r>
    </w:p>
    <w:p w14:paraId="5A975632" w14:textId="77777777" w:rsidR="00335470" w:rsidRDefault="00335470" w:rsidP="00335470">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7AD29C98"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por resolución que corresponde a la actuación interna Nº 279/64, el mencionado Consejo Gremial actualizó los montos de las asignaciones, con sujeción al máximo que surge de la aplicación de la ley citada en último término.</w:t>
      </w:r>
    </w:p>
    <w:p w14:paraId="7CCE6AA7"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5DE7731"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vez,</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Directorio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CASFEC,</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156,</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12</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marzo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1965,</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ratificó</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vigencia de su anterior Nº 134/63 frente a las disposiciones de la Ley Nº</w:t>
      </w:r>
      <w:r>
        <w:rPr>
          <w:rFonts w:ascii="Trebuchet MS" w:hAnsi="Trebuchet MS" w:cs="Trebuchet MS"/>
          <w:spacing w:val="-36"/>
          <w:kern w:val="1"/>
          <w:sz w:val="19"/>
          <w:szCs w:val="19"/>
          <w:lang w:val="es-ES"/>
        </w:rPr>
        <w:t xml:space="preserve"> </w:t>
      </w:r>
      <w:r>
        <w:rPr>
          <w:rFonts w:ascii="Trebuchet MS" w:hAnsi="Trebuchet MS" w:cs="Trebuchet MS"/>
          <w:kern w:val="1"/>
          <w:sz w:val="19"/>
          <w:szCs w:val="19"/>
          <w:lang w:val="es-ES"/>
        </w:rPr>
        <w:t>16.459.</w:t>
      </w:r>
    </w:p>
    <w:p w14:paraId="128F4348" w14:textId="77777777" w:rsidR="00335470" w:rsidRDefault="00335470" w:rsidP="003354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1D14E8A4"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1º de enero de 1969 entró en vigor la Ley Nº 18.017, que estableció un régimen nacional de asignaciones familiares integral, que comprendió a la totalidad de personal en relación de dependencia de la actividad privada, el cual continuó vigente, con modificaciones, hasta el distado del Decreto Nº 770/96.</w:t>
      </w:r>
    </w:p>
    <w:p w14:paraId="462D99FE"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E3B47A"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sólo se exceptuó de la aplicación de la Ley Nº 18.017 al personal doméstico y parcialmente a los trabajadores a domicilio regidos por la Ley Nº 12.713, no obstante lo cual se mantuvo la situación preexistente con relación al personal de los establecimientos educativos privados.</w:t>
      </w:r>
    </w:p>
    <w:p w14:paraId="408F8F27"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E73950C" w14:textId="77777777" w:rsidR="00335470" w:rsidRDefault="00335470" w:rsidP="00335470">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ratifica la afirmación contenida en el considerando anterior la circunstancia de que en la publicación “Resoluciones CASFEC en base a la Ley Nº 18.017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actualizadas al 30 de marzo de 1991”, elaborada por la mencionada Caja, se tienen por vigentes las resoluciones de la CAJA DE SUBSIDIOS FAMILIARES PARA EMPLEADOS DE COMERCIO Nº 134/63 y 156/65.</w:t>
      </w:r>
    </w:p>
    <w:p w14:paraId="1329CAF3" w14:textId="77777777" w:rsidR="00335470" w:rsidRDefault="00335470" w:rsidP="003354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55B7ABC"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ANSES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1219,</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30</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noviembre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1993,</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copia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obra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agregada a fs. 25/27 del expediente Nº 13.289-5.5.682/99, el Director Ejecutivo de la ANSES ratificó lo dispuesto por las resoluciones de la CASFEC precedentemente mencionadas, disponiendo que lo establecimientos educativos privados comprendidos en el Estatuto del Personal Docente de los Establecimientos de Enseñanza Privada “permanecen excluidos” del régimen de asignaciones y subsidios familiares, salvo los comprendidos 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13.047</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(establecimientos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privados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directa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 correspondencia).</w:t>
      </w:r>
    </w:p>
    <w:p w14:paraId="61804973"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18EA1BD"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los considerandos de la precitada resolución se afirma que no se encuentra fundamento jurídico alguno que permita apartarse del criterio sustentado por la ex-CASFEC en las Resoluciones Nº 134/63 y 156/65, en relación a los establecimientos comprendidos en los incisos a) y b) de la Ley Nº 13.047.</w:t>
      </w:r>
    </w:p>
    <w:p w14:paraId="27DF84C9" w14:textId="77777777" w:rsidR="00335470" w:rsidRDefault="00335470" w:rsidP="00335470">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44F5E48B"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Decreto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770,</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15</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julio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1996,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instituyó</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arancel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principios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 sistema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reparto,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asignaciones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familiares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relación de dependencia en la actividad privada, y para beneficios del SISTEMA INTEGRADO DE JUBILACIONES Y PENSIONES (SIJP), dejando sin efecto la Ley Nº 18.017 y sus modificatorias, sus decretos reglamentarios y toda otra norma que se le oponga (artículo</w:t>
      </w:r>
      <w:r>
        <w:rPr>
          <w:rFonts w:ascii="Trebuchet MS" w:hAnsi="Trebuchet MS" w:cs="Trebuchet MS"/>
          <w:spacing w:val="-14"/>
          <w:kern w:val="1"/>
          <w:sz w:val="19"/>
          <w:szCs w:val="19"/>
          <w:lang w:val="es-ES"/>
        </w:rPr>
        <w:t xml:space="preserve"> </w:t>
      </w:r>
      <w:r>
        <w:rPr>
          <w:rFonts w:ascii="Trebuchet MS" w:hAnsi="Trebuchet MS" w:cs="Trebuchet MS"/>
          <w:kern w:val="1"/>
          <w:sz w:val="19"/>
          <w:szCs w:val="19"/>
          <w:lang w:val="es-ES"/>
        </w:rPr>
        <w:t>11).</w:t>
      </w:r>
    </w:p>
    <w:p w14:paraId="284D73F3"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6607BF"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propio texto de la expresión “cualquiera sea la modalidad de contratación laboral”, contenida en el 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inciso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24.714,</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desprende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refiere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laborales,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 el caso del personal comprendido en la Ley Nº 13.047, sino a modalidades de contratación laboral, regladas por los artículos 90 y siguientes de la Ley de Contrato de Trabajo Nº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 y sus modificatorias (contrato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tiempo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determinado,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plazo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fijo,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temporada,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eventual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grupo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equipo).</w:t>
      </w:r>
    </w:p>
    <w:p w14:paraId="6B43F563" w14:textId="77777777" w:rsidR="00335470" w:rsidRDefault="00335470" w:rsidP="00335470">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cuanto al alcance de la exclusión, el suscripto comparte el criterio que presidió el dictado de la ya citada Resolución D. E. ANSES Nº 1219/93, en el sentido de que ella alcanza a los establecimientos educativos comprendidos en los incisos a) y b) del artículo 2º de la Ley Nº 13.047 (adscriptos a la enseñanza oficial y libres).</w:t>
      </w:r>
    </w:p>
    <w:p w14:paraId="2929D05A"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42ACA10"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organización y características de la enseñanza que imparten tales establecimientos autorizan a mantener el criterio antes citado, que el suscripto considera prudente ratificar.</w:t>
      </w:r>
    </w:p>
    <w:p w14:paraId="38969896" w14:textId="77777777" w:rsidR="00335470" w:rsidRDefault="00335470" w:rsidP="003354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046884FE"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con relación a los establecimientos aludidos en el inciso c) de la Ley Nº 13.047 (de enseñanza general, directa o por correspondencia), el suscripto considera que debe mantenerse similar exclusión, siempre que los mismos se encuentren inscriptos en el registro que prevé el artículo 2º de la citada ley, inscripción que asegura una garantía de control mínimo por parte de la autoridad estatal competente.</w:t>
      </w:r>
    </w:p>
    <w:p w14:paraId="38C2B73A" w14:textId="77777777" w:rsidR="00335470" w:rsidRDefault="00335470" w:rsidP="00335470">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0FBF354"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Que en los expedientes mencionados en el Visto de esta resolución, tanto la ANSES como la AFIP han reconocido la potestad de la SECRETARÍA DE SEGURIDAD SOCIAL para resolver el conflicto suscitado, en base a lo que dispone el </w:t>
      </w:r>
      <w:r>
        <w:rPr>
          <w:rFonts w:ascii="Trebuchet MS" w:hAnsi="Trebuchet MS" w:cs="Trebuchet MS"/>
          <w:kern w:val="1"/>
          <w:sz w:val="19"/>
          <w:szCs w:val="19"/>
          <w:lang w:val="es-ES"/>
        </w:rPr>
        <w:lastRenderedPageBreak/>
        <w:t>artículo 12 del Decreto Nº 1245/96, que le atribuye competencia para dictar las normas complementarias y aclaratorias del régimen de asignaciones familiares.</w:t>
      </w:r>
    </w:p>
    <w:p w14:paraId="7CB2AD63" w14:textId="77777777" w:rsidR="00335470" w:rsidRDefault="00335470" w:rsidP="003354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07868845" w14:textId="77777777" w:rsidR="00335470" w:rsidRDefault="00335470" w:rsidP="00335470">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13EAAECE" w14:textId="77777777" w:rsidR="00335470" w:rsidRDefault="00335470" w:rsidP="00335470">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p>
    <w:p w14:paraId="78D4AEF0" w14:textId="4F2685DF" w:rsidR="00335470" w:rsidRPr="00335470" w:rsidRDefault="00335470" w:rsidP="00335470">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bookmarkStart w:id="0" w:name="_GoBack"/>
      <w:bookmarkEnd w:id="0"/>
      <w:r>
        <w:rPr>
          <w:rFonts w:ascii="Trebuchet MS" w:hAnsi="Trebuchet MS" w:cs="Trebuchet MS"/>
          <w:b/>
          <w:bCs/>
          <w:kern w:val="1"/>
          <w:sz w:val="19"/>
          <w:szCs w:val="19"/>
          <w:lang w:val="es-ES"/>
        </w:rPr>
        <w:t>EL SECRETARIO DE SEGURIDAD SOCIAL RESUELVE:</w:t>
      </w:r>
    </w:p>
    <w:p w14:paraId="12481D5C" w14:textId="77777777" w:rsidR="00335470" w:rsidRDefault="00335470" w:rsidP="00335470">
      <w:pPr>
        <w:widowControl w:val="0"/>
        <w:autoSpaceDE w:val="0"/>
        <w:autoSpaceDN w:val="0"/>
        <w:adjustRightInd w:val="0"/>
        <w:spacing w:before="10" w:after="0" w:line="240" w:lineRule="auto"/>
        <w:ind w:right="-1"/>
        <w:rPr>
          <w:rFonts w:ascii="Times New Roman" w:hAnsi="Times New Roman" w:cs="Times New Roman"/>
          <w:b/>
          <w:bCs/>
          <w:kern w:val="1"/>
          <w:sz w:val="18"/>
          <w:szCs w:val="18"/>
          <w:lang w:val="es-ES"/>
        </w:rPr>
      </w:pPr>
    </w:p>
    <w:p w14:paraId="5AF39D0D"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 1º.- </w:t>
      </w:r>
      <w:proofErr w:type="spellStart"/>
      <w:r>
        <w:rPr>
          <w:rFonts w:ascii="Trebuchet MS" w:hAnsi="Trebuchet MS" w:cs="Trebuchet MS"/>
          <w:kern w:val="1"/>
          <w:sz w:val="19"/>
          <w:szCs w:val="19"/>
          <w:lang w:val="es-ES"/>
        </w:rPr>
        <w:t>Aclárase</w:t>
      </w:r>
      <w:proofErr w:type="spellEnd"/>
      <w:r>
        <w:rPr>
          <w:rFonts w:ascii="Trebuchet MS" w:hAnsi="Trebuchet MS" w:cs="Trebuchet MS"/>
          <w:kern w:val="1"/>
          <w:sz w:val="19"/>
          <w:szCs w:val="19"/>
          <w:lang w:val="es-ES"/>
        </w:rPr>
        <w:t xml:space="preserve"> que los establecimientos comprendidos en el Estatuto de los Establecimientos Privados de Enseñanza, aprobado por Ley Nº 13.047, enumerados en los incisos a) y b) del artículo 2º de la mencionada ley, continúan excluidos del régimen instituido por la Ley Nº 24.714.</w:t>
      </w:r>
    </w:p>
    <w:p w14:paraId="4EDCE093" w14:textId="77777777" w:rsidR="00335470" w:rsidRDefault="00335470" w:rsidP="00335470">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También continúan excluidos de dicho régimen los establecimientos aludidos en el inciso c) del mismo artículo, que estuvieren inscriptos en el registro que prevé el artículo 2º de la Ley Nº 13.047.</w:t>
      </w:r>
    </w:p>
    <w:p w14:paraId="0AA053FA" w14:textId="77777777" w:rsidR="00335470" w:rsidRDefault="00335470" w:rsidP="00335470">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3C258DD" w14:textId="77777777" w:rsidR="00335470" w:rsidRDefault="00335470" w:rsidP="00335470">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 2º.- Lo dispuesto en el artículo precedente no dará lugar a la devolución, repetición o compensación de contribuciones o sus accesorios, ya ingresados.</w:t>
      </w:r>
    </w:p>
    <w:p w14:paraId="11D7F539" w14:textId="77777777" w:rsidR="00335470" w:rsidRDefault="00335470" w:rsidP="00335470">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24E74481" w14:textId="77777777" w:rsidR="00335470" w:rsidRDefault="00335470" w:rsidP="00335470">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 3º.-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del Registro Oficial, agréguese copia de la presente a las actuaciones mencionadas en el Visto, cumplido, devuélvanse las mismas a sus respectivas reparticiones de origen y archívese. - Santiago de Estrada.</w:t>
      </w:r>
    </w:p>
    <w:p w14:paraId="6CDB0543" w14:textId="39F7095A" w:rsidR="00592F1B" w:rsidRPr="00AC3BA6" w:rsidRDefault="00592F1B" w:rsidP="00335470">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35470"/>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1531</Words>
  <Characters>8424</Characters>
  <Application>Microsoft Macintosh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2021-05-26T15:07:00Z</dcterms:created>
  <dcterms:modified xsi:type="dcterms:W3CDTF">2021-05-26T15:07:00Z</dcterms:modified>
</cp:coreProperties>
</file>