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D3BF8" w14:textId="77777777" w:rsidR="007B49C0" w:rsidRDefault="007B49C0" w:rsidP="007B49C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48C6A32" w14:textId="77777777" w:rsidR="007B49C0" w:rsidRDefault="007B49C0" w:rsidP="007B49C0">
      <w:pPr>
        <w:widowControl w:val="0"/>
        <w:autoSpaceDE w:val="0"/>
        <w:autoSpaceDN w:val="0"/>
        <w:adjustRightInd w:val="0"/>
        <w:spacing w:before="99" w:after="0" w:line="475" w:lineRule="auto"/>
        <w:ind w:right="-1"/>
        <w:jc w:val="center"/>
        <w:rPr>
          <w:rFonts w:ascii="Times New Roman" w:hAnsi="Times New Roman" w:cs="Times New Roman"/>
          <w:sz w:val="28"/>
          <w:szCs w:val="28"/>
          <w:lang w:val="es-ES"/>
        </w:rPr>
      </w:pPr>
    </w:p>
    <w:p w14:paraId="413242B5" w14:textId="77777777" w:rsidR="007B49C0" w:rsidRDefault="007B49C0" w:rsidP="007B49C0">
      <w:pPr>
        <w:widowControl w:val="0"/>
        <w:autoSpaceDE w:val="0"/>
        <w:autoSpaceDN w:val="0"/>
        <w:adjustRightInd w:val="0"/>
        <w:spacing w:before="99" w:after="0" w:line="475" w:lineRule="auto"/>
        <w:ind w:right="-1"/>
        <w:jc w:val="center"/>
        <w:rPr>
          <w:rFonts w:ascii="Trebuchet MS" w:hAnsi="Trebuchet MS" w:cs="Trebuchet MS"/>
          <w:b/>
          <w:bCs/>
          <w:sz w:val="19"/>
          <w:szCs w:val="19"/>
          <w:lang w:val="es-ES"/>
        </w:rPr>
      </w:pPr>
      <w:bookmarkStart w:id="0" w:name="_GoBack"/>
      <w:bookmarkEnd w:id="0"/>
      <w:r>
        <w:rPr>
          <w:rFonts w:ascii="Trebuchet MS" w:hAnsi="Trebuchet MS" w:cs="Trebuchet MS"/>
          <w:b/>
          <w:bCs/>
          <w:sz w:val="19"/>
          <w:szCs w:val="19"/>
          <w:lang w:val="es-ES"/>
        </w:rPr>
        <w:t xml:space="preserve">DOCUMENTACIÓN QUE NO REQUIERE LA AUTENTIFICACIÓN DE LA ANSES </w:t>
      </w:r>
    </w:p>
    <w:p w14:paraId="4494AAEE" w14:textId="4035DFBD" w:rsidR="007B49C0" w:rsidRDefault="007B49C0" w:rsidP="007B49C0">
      <w:pPr>
        <w:widowControl w:val="0"/>
        <w:autoSpaceDE w:val="0"/>
        <w:autoSpaceDN w:val="0"/>
        <w:adjustRightInd w:val="0"/>
        <w:spacing w:before="99"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ADMINISTRACION NACIONAL DE LA SEGURIDAD SOCIAL</w:t>
      </w:r>
    </w:p>
    <w:p w14:paraId="166E40D5" w14:textId="77777777" w:rsidR="007B49C0" w:rsidRDefault="007B49C0" w:rsidP="007B49C0">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 76 / 2009</w:t>
      </w:r>
    </w:p>
    <w:p w14:paraId="1EB9F316" w14:textId="77777777" w:rsidR="007B49C0" w:rsidRDefault="007B49C0" w:rsidP="007B49C0">
      <w:pPr>
        <w:widowControl w:val="0"/>
        <w:autoSpaceDE w:val="0"/>
        <w:autoSpaceDN w:val="0"/>
        <w:adjustRightInd w:val="0"/>
        <w:spacing w:after="0" w:line="240" w:lineRule="auto"/>
        <w:ind w:right="-1"/>
        <w:rPr>
          <w:rFonts w:ascii="Times New Roman" w:hAnsi="Times New Roman" w:cs="Times New Roman"/>
          <w:b/>
          <w:bCs/>
          <w:lang w:val="es-ES"/>
        </w:rPr>
      </w:pPr>
    </w:p>
    <w:p w14:paraId="5EAF6650" w14:textId="77777777" w:rsidR="007B49C0" w:rsidRDefault="007B49C0" w:rsidP="007B49C0">
      <w:pPr>
        <w:widowControl w:val="0"/>
        <w:autoSpaceDE w:val="0"/>
        <w:autoSpaceDN w:val="0"/>
        <w:adjustRightInd w:val="0"/>
        <w:spacing w:before="179" w:after="0" w:line="240" w:lineRule="auto"/>
        <w:ind w:right="-1"/>
        <w:rPr>
          <w:rFonts w:ascii="Trebuchet MS" w:hAnsi="Trebuchet MS" w:cs="Trebuchet MS"/>
          <w:b/>
          <w:bCs/>
          <w:sz w:val="19"/>
          <w:szCs w:val="19"/>
          <w:lang w:val="es-ES"/>
        </w:rPr>
      </w:pPr>
      <w:proofErr w:type="spellStart"/>
      <w:r>
        <w:rPr>
          <w:rFonts w:ascii="Trebuchet MS" w:hAnsi="Trebuchet MS" w:cs="Trebuchet MS"/>
          <w:b/>
          <w:bCs/>
          <w:sz w:val="19"/>
          <w:szCs w:val="19"/>
          <w:lang w:val="es-ES"/>
        </w:rPr>
        <w:t>Dispónese</w:t>
      </w:r>
      <w:proofErr w:type="spellEnd"/>
      <w:r>
        <w:rPr>
          <w:rFonts w:ascii="Trebuchet MS" w:hAnsi="Trebuchet MS" w:cs="Trebuchet MS"/>
          <w:b/>
          <w:bCs/>
          <w:sz w:val="19"/>
          <w:szCs w:val="19"/>
          <w:lang w:val="es-ES"/>
        </w:rPr>
        <w:t xml:space="preserve"> que las constancias de CUIL, empadronamiento, certificación negativa y la historia laboral a través de la página de ANSES, no requieren la autenticación con sello y firma de un agente.</w:t>
      </w:r>
    </w:p>
    <w:p w14:paraId="09F4E44E" w14:textId="77777777" w:rsidR="007B49C0" w:rsidRDefault="007B49C0" w:rsidP="007B49C0">
      <w:pPr>
        <w:widowControl w:val="0"/>
        <w:autoSpaceDE w:val="0"/>
        <w:autoSpaceDN w:val="0"/>
        <w:adjustRightInd w:val="0"/>
        <w:spacing w:before="6" w:after="0" w:line="240" w:lineRule="auto"/>
        <w:ind w:right="-1"/>
        <w:rPr>
          <w:rFonts w:ascii="Times New Roman" w:hAnsi="Times New Roman" w:cs="Times New Roman"/>
          <w:b/>
          <w:bCs/>
          <w:sz w:val="18"/>
          <w:szCs w:val="18"/>
          <w:lang w:val="es-ES"/>
        </w:rPr>
      </w:pPr>
    </w:p>
    <w:p w14:paraId="12E744A1" w14:textId="77777777" w:rsidR="007B49C0" w:rsidRDefault="007B49C0" w:rsidP="007B49C0">
      <w:pPr>
        <w:widowControl w:val="0"/>
        <w:autoSpaceDE w:val="0"/>
        <w:autoSpaceDN w:val="0"/>
        <w:adjustRightInd w:val="0"/>
        <w:spacing w:before="1"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 de febrero de 2009</w:t>
      </w:r>
    </w:p>
    <w:p w14:paraId="4D40821E" w14:textId="77777777" w:rsidR="007B49C0" w:rsidRDefault="007B49C0" w:rsidP="007B49C0">
      <w:pPr>
        <w:widowControl w:val="0"/>
        <w:autoSpaceDE w:val="0"/>
        <w:autoSpaceDN w:val="0"/>
        <w:adjustRightInd w:val="0"/>
        <w:spacing w:before="1" w:after="0" w:line="240" w:lineRule="auto"/>
        <w:ind w:right="-1"/>
        <w:rPr>
          <w:rFonts w:ascii="Times New Roman" w:hAnsi="Times New Roman" w:cs="Times New Roman"/>
          <w:sz w:val="10"/>
          <w:szCs w:val="10"/>
          <w:lang w:val="es-ES"/>
        </w:rPr>
      </w:pPr>
    </w:p>
    <w:p w14:paraId="3ECCAA7D" w14:textId="77777777" w:rsidR="007B49C0" w:rsidRDefault="007B49C0" w:rsidP="007B49C0">
      <w:pPr>
        <w:widowControl w:val="0"/>
        <w:autoSpaceDE w:val="0"/>
        <w:autoSpaceDN w:val="0"/>
        <w:adjustRightInd w:val="0"/>
        <w:spacing w:before="99"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4CB56556" w14:textId="77777777" w:rsidR="007B49C0" w:rsidRDefault="007B49C0" w:rsidP="007B49C0">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65FD6B9B" w14:textId="77777777" w:rsidR="007B49C0" w:rsidRDefault="007B49C0" w:rsidP="007B49C0">
      <w:pPr>
        <w:widowControl w:val="0"/>
        <w:autoSpaceDE w:val="0"/>
        <w:autoSpaceDN w:val="0"/>
        <w:adjustRightInd w:val="0"/>
        <w:spacing w:after="0" w:line="220" w:lineRule="exact"/>
        <w:ind w:right="-1"/>
        <w:rPr>
          <w:rFonts w:ascii="Trebuchet MS" w:hAnsi="Trebuchet MS" w:cs="Trebuchet MS"/>
          <w:sz w:val="19"/>
          <w:szCs w:val="19"/>
          <w:lang w:val="es-ES"/>
        </w:rPr>
      </w:pPr>
      <w:r>
        <w:rPr>
          <w:rFonts w:ascii="Trebuchet MS" w:hAnsi="Trebuchet MS" w:cs="Trebuchet MS"/>
          <w:sz w:val="19"/>
          <w:szCs w:val="19"/>
          <w:lang w:val="es-ES"/>
        </w:rPr>
        <w:t>El Expediente Nº 024-99-81166385-5-790 del Registro de la ADMINISTRACION NACIONAL DE LA SEGURIDAD</w:t>
      </w:r>
    </w:p>
    <w:p w14:paraId="46161192" w14:textId="77777777" w:rsidR="007B49C0" w:rsidRDefault="007B49C0" w:rsidP="007B49C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 xml:space="preserve">SOCIAL (ANSES), la Ley 24.013, Disposiciones SURL Nº 01/1994, 01/1997, 02/1997 y 24/2001, Resolución SSS Nº 18/1997, la Resolución DE Nº 246/97, Resolución Conjunta DE Nº 1185/97 y INSSJP 339/97 y la Resolución </w:t>
      </w:r>
      <w:proofErr w:type="spellStart"/>
      <w:r>
        <w:rPr>
          <w:rFonts w:ascii="Trebuchet MS" w:hAnsi="Trebuchet MS" w:cs="Trebuchet MS"/>
          <w:sz w:val="19"/>
          <w:szCs w:val="19"/>
          <w:lang w:val="es-ES"/>
        </w:rPr>
        <w:t>GNPyS</w:t>
      </w:r>
      <w:proofErr w:type="spellEnd"/>
      <w:r>
        <w:rPr>
          <w:rFonts w:ascii="Trebuchet MS" w:hAnsi="Trebuchet MS" w:cs="Trebuchet MS"/>
          <w:sz w:val="19"/>
          <w:szCs w:val="19"/>
          <w:lang w:val="es-ES"/>
        </w:rPr>
        <w:t xml:space="preserve"> 69/2006</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p>
    <w:p w14:paraId="57ACD5F8" w14:textId="77777777" w:rsidR="007B49C0" w:rsidRDefault="007B49C0" w:rsidP="007B49C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C997352" w14:textId="77777777" w:rsidR="007B49C0" w:rsidRDefault="007B49C0" w:rsidP="007B49C0">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45E9DDAA" w14:textId="77777777" w:rsidR="007B49C0" w:rsidRDefault="007B49C0" w:rsidP="007B49C0">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72D65AB" w14:textId="77777777" w:rsidR="007B49C0" w:rsidRDefault="007B49C0" w:rsidP="007B49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el Expediente citado en el VISTO tramita un proyecto de Resolución para reafirmar la veracidad de los comprobantes de CUIL, el comprobante de empadronamiento de la Obra Social (CODEM), la certificación negativa y la historia laboral que se obtengan por cualquiera de los medios electrónicos que facilita esta Administración.</w:t>
      </w:r>
    </w:p>
    <w:p w14:paraId="13A2184E" w14:textId="77777777" w:rsidR="007B49C0" w:rsidRDefault="007B49C0" w:rsidP="007B49C0">
      <w:pPr>
        <w:widowControl w:val="0"/>
        <w:autoSpaceDE w:val="0"/>
        <w:autoSpaceDN w:val="0"/>
        <w:adjustRightInd w:val="0"/>
        <w:spacing w:before="1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resulta primordial unificar criterios respetando la normativa vigente en la materia.</w:t>
      </w:r>
    </w:p>
    <w:p w14:paraId="4C8B313E" w14:textId="77777777" w:rsidR="007B49C0" w:rsidRDefault="007B49C0" w:rsidP="007B49C0">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estas constancias se pueden obtener por distintas vías, todas válidas no necesitando sus titulares,</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contar con sello de este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Organismo.</w:t>
      </w:r>
    </w:p>
    <w:p w14:paraId="12ECE740" w14:textId="77777777" w:rsidR="007B49C0" w:rsidRDefault="007B49C0" w:rsidP="007B49C0">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los medios válidos para la obtención de la constancia son a través de la página Web de esta Administración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teléfono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Atención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Telefónica, recibiendo posteriormente las credenciales por correo, presentándose en una UDAI o aquellos que en el futuro habilite esta Administración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Nacional.</w:t>
      </w:r>
    </w:p>
    <w:p w14:paraId="25703FEB" w14:textId="77777777" w:rsidR="007B49C0" w:rsidRDefault="007B49C0" w:rsidP="007B49C0">
      <w:pPr>
        <w:widowControl w:val="0"/>
        <w:autoSpaceDE w:val="0"/>
        <w:autoSpaceDN w:val="0"/>
        <w:adjustRightInd w:val="0"/>
        <w:spacing w:before="11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esta Administración prioriza la calidad de gestión brindando a los ciudadanos un mejor servicio.</w:t>
      </w:r>
    </w:p>
    <w:p w14:paraId="5E50E0A7" w14:textId="77777777" w:rsidR="007B49C0" w:rsidRDefault="007B49C0" w:rsidP="007B49C0">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responde a oportunidad, mérito y conveniencia utilizar los medios informáticos que constituye un gran avance y un mecanismo idóneo para la celeridad de su tramitación.</w:t>
      </w:r>
    </w:p>
    <w:p w14:paraId="5FC74F0B" w14:textId="77777777" w:rsidR="007B49C0" w:rsidRDefault="007B49C0" w:rsidP="007B49C0">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ha tomado la intervención de su competencia la Gerencia Asuntos Jurídicos de esta Administración Nacional de la Seguridad Social.</w:t>
      </w:r>
    </w:p>
    <w:p w14:paraId="7C3033CE" w14:textId="77777777" w:rsidR="007B49C0" w:rsidRDefault="007B49C0" w:rsidP="007B49C0">
      <w:pPr>
        <w:widowControl w:val="0"/>
        <w:autoSpaceDE w:val="0"/>
        <w:autoSpaceDN w:val="0"/>
        <w:adjustRightInd w:val="0"/>
        <w:spacing w:before="1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presente Resolución se dicta en uso de las facultades conferidas por el artículo 3º del Decreto 2741/91, el artículo 36 de la ley 24.241 y el artículo 10º del Decreto Nº 2104/08.</w:t>
      </w:r>
    </w:p>
    <w:p w14:paraId="60406BBB" w14:textId="77777777" w:rsidR="007B49C0" w:rsidRDefault="007B49C0" w:rsidP="007B49C0">
      <w:pPr>
        <w:widowControl w:val="0"/>
        <w:autoSpaceDE w:val="0"/>
        <w:autoSpaceDN w:val="0"/>
        <w:adjustRightInd w:val="0"/>
        <w:spacing w:before="10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2271D58E" w14:textId="77777777" w:rsidR="007B49C0" w:rsidRDefault="007B49C0" w:rsidP="007B49C0">
      <w:pPr>
        <w:widowControl w:val="0"/>
        <w:autoSpaceDE w:val="0"/>
        <w:autoSpaceDN w:val="0"/>
        <w:adjustRightInd w:val="0"/>
        <w:spacing w:before="116"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DIRECTOR EJECUTIVO DE LA ADMINISTRACION NACIONAL DE LA SEGURIDAD SOCIAL RESUELVE:</w:t>
      </w:r>
    </w:p>
    <w:p w14:paraId="041A5C4A" w14:textId="77777777" w:rsidR="007B49C0" w:rsidRDefault="007B49C0" w:rsidP="007B49C0">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253431A" w14:textId="77777777" w:rsidR="007B49C0" w:rsidRDefault="007B49C0" w:rsidP="007B49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Dispónese</w:t>
      </w:r>
      <w:proofErr w:type="spellEnd"/>
      <w:r>
        <w:rPr>
          <w:rFonts w:ascii="Trebuchet MS" w:hAnsi="Trebuchet MS" w:cs="Trebuchet MS"/>
          <w:kern w:val="1"/>
          <w:sz w:val="19"/>
          <w:szCs w:val="19"/>
          <w:lang w:val="es-ES"/>
        </w:rPr>
        <w:t xml:space="preserve"> que las Constancias de CUIL, el comprobante de empadronamiento de la Obra Social (CODEM), la certificación negativa y la historia laboral emitidas a través de la página de ANSES -autopista de servicios- no requieren la autenticación con sello y firma de un agente de ANSES.</w:t>
      </w:r>
    </w:p>
    <w:p w14:paraId="4F41E31C" w14:textId="77777777" w:rsidR="007B49C0" w:rsidRDefault="007B49C0" w:rsidP="007B49C0">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2 - Regístrese,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Amado </w:t>
      </w:r>
      <w:proofErr w:type="spellStart"/>
      <w:r>
        <w:rPr>
          <w:rFonts w:ascii="Trebuchet MS" w:hAnsi="Trebuchet MS" w:cs="Trebuchet MS"/>
          <w:kern w:val="1"/>
          <w:sz w:val="19"/>
          <w:szCs w:val="19"/>
          <w:lang w:val="es-ES"/>
        </w:rPr>
        <w:t>Boudou</w:t>
      </w:r>
      <w:proofErr w:type="spellEnd"/>
      <w:r>
        <w:rPr>
          <w:rFonts w:ascii="Trebuchet MS" w:hAnsi="Trebuchet MS" w:cs="Trebuchet MS"/>
          <w:kern w:val="1"/>
          <w:sz w:val="19"/>
          <w:szCs w:val="19"/>
          <w:lang w:val="es-ES"/>
        </w:rPr>
        <w:t>.</w:t>
      </w:r>
    </w:p>
    <w:p w14:paraId="2DB27886" w14:textId="77777777" w:rsidR="007B49C0" w:rsidRDefault="007B49C0" w:rsidP="007B49C0">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C684DF" w14:textId="77777777" w:rsidR="007B49C0" w:rsidRDefault="007B49C0" w:rsidP="007B49C0">
      <w:pPr>
        <w:widowControl w:val="0"/>
        <w:autoSpaceDE w:val="0"/>
        <w:autoSpaceDN w:val="0"/>
        <w:adjustRightInd w:val="0"/>
        <w:spacing w:before="9" w:after="0" w:line="240" w:lineRule="auto"/>
        <w:ind w:right="-1"/>
        <w:rPr>
          <w:rFonts w:ascii="Times New Roman" w:hAnsi="Times New Roman" w:cs="Times New Roman"/>
          <w:kern w:val="1"/>
          <w:sz w:val="25"/>
          <w:szCs w:val="25"/>
          <w:lang w:val="es-ES"/>
        </w:rPr>
      </w:pPr>
    </w:p>
    <w:p w14:paraId="04E430D6" w14:textId="77777777" w:rsidR="007B49C0" w:rsidRDefault="007B49C0" w:rsidP="007B49C0">
      <w:pPr>
        <w:widowControl w:val="0"/>
        <w:autoSpaceDE w:val="0"/>
        <w:autoSpaceDN w:val="0"/>
        <w:adjustRightInd w:val="0"/>
        <w:spacing w:before="100" w:after="0" w:line="240" w:lineRule="auto"/>
        <w:ind w:right="-1"/>
        <w:rPr>
          <w:rFonts w:ascii="Times New Roman" w:hAnsi="Times New Roman" w:cs="Times New Roman"/>
          <w:kern w:val="1"/>
          <w:sz w:val="15"/>
          <w:szCs w:val="15"/>
          <w:lang w:val="es-ES"/>
        </w:rPr>
      </w:pPr>
    </w:p>
    <w:p w14:paraId="6CDB0543" w14:textId="39F7095A" w:rsidR="00592F1B" w:rsidRPr="00AC3BA6" w:rsidRDefault="00592F1B" w:rsidP="007B49C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7B49C0"/>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2330</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2021-05-26T15:13:00Z</dcterms:created>
  <dcterms:modified xsi:type="dcterms:W3CDTF">2021-05-26T15:13:00Z</dcterms:modified>
</cp:coreProperties>
</file>