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1A031" w14:textId="77777777" w:rsidR="00C257BB" w:rsidRDefault="00C257BB" w:rsidP="00C257BB">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2B9B2AAE" w14:textId="77777777" w:rsidR="00C257BB" w:rsidRDefault="00C257BB" w:rsidP="00C257BB">
      <w:pPr>
        <w:widowControl w:val="0"/>
        <w:autoSpaceDE w:val="0"/>
        <w:autoSpaceDN w:val="0"/>
        <w:adjustRightInd w:val="0"/>
        <w:spacing w:after="0" w:line="20" w:lineRule="exact"/>
        <w:ind w:right="-1"/>
        <w:rPr>
          <w:rFonts w:ascii="Times New Roman" w:hAnsi="Times New Roman" w:cs="Times New Roman"/>
          <w:sz w:val="2"/>
          <w:szCs w:val="2"/>
          <w:lang w:val="es-ES"/>
        </w:rPr>
      </w:pPr>
    </w:p>
    <w:p w14:paraId="7AC1157F" w14:textId="77777777" w:rsidR="00C257BB" w:rsidRDefault="00C257BB" w:rsidP="00C257B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C62A37E" w14:textId="77777777" w:rsidR="00C257BB" w:rsidRDefault="00C257BB" w:rsidP="00C257BB">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4F270A70" w14:textId="77777777" w:rsidR="00C257BB" w:rsidRDefault="00C257BB" w:rsidP="00C257BB">
      <w:pPr>
        <w:widowControl w:val="0"/>
        <w:autoSpaceDE w:val="0"/>
        <w:autoSpaceDN w:val="0"/>
        <w:adjustRightInd w:val="0"/>
        <w:spacing w:after="0" w:line="220"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OPCIÓN DE CAMBIO DE OBRA SOCIAL</w:t>
      </w:r>
    </w:p>
    <w:p w14:paraId="25FB595A" w14:textId="77777777" w:rsidR="00C257BB" w:rsidRDefault="00C257BB" w:rsidP="00C257BB">
      <w:pPr>
        <w:widowControl w:val="0"/>
        <w:autoSpaceDE w:val="0"/>
        <w:autoSpaceDN w:val="0"/>
        <w:adjustRightInd w:val="0"/>
        <w:spacing w:before="1"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DERÓGASE EL PÁRRAFO FINAL DEL ARTÍCULO 2 DE LA RESOLUCIÓN Nº 37/98, </w:t>
      </w:r>
    </w:p>
    <w:p w14:paraId="27C85995" w14:textId="369F8FBD" w:rsidR="00C257BB" w:rsidRDefault="00C257BB" w:rsidP="00C257BB">
      <w:pPr>
        <w:widowControl w:val="0"/>
        <w:autoSpaceDE w:val="0"/>
        <w:autoSpaceDN w:val="0"/>
        <w:adjustRightInd w:val="0"/>
        <w:spacing w:before="1"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INTRODUCIDO POR LA RESOLUCIÓN Nº 180/99.</w:t>
      </w:r>
    </w:p>
    <w:p w14:paraId="4C217C60" w14:textId="77777777" w:rsidR="00C257BB" w:rsidRDefault="00C257BB" w:rsidP="00C257BB">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292A904D" w14:textId="77777777" w:rsidR="00C257BB" w:rsidRDefault="00C257BB" w:rsidP="00C257BB">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SUPERINTENDENCIA DE SERVICIOS DE SALUD </w:t>
      </w:r>
    </w:p>
    <w:p w14:paraId="3BAD4126" w14:textId="60EEAC78" w:rsidR="00C257BB" w:rsidRDefault="00C257BB" w:rsidP="00C257BB">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995/2008</w:t>
      </w:r>
    </w:p>
    <w:p w14:paraId="00A91338" w14:textId="77777777" w:rsidR="00C257BB" w:rsidRDefault="00C257BB" w:rsidP="00C257BB">
      <w:pPr>
        <w:widowControl w:val="0"/>
        <w:autoSpaceDE w:val="0"/>
        <w:autoSpaceDN w:val="0"/>
        <w:adjustRightInd w:val="0"/>
        <w:spacing w:before="1"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11 de diciembre de 2008</w:t>
      </w:r>
    </w:p>
    <w:p w14:paraId="7152F899" w14:textId="77777777" w:rsidR="00C257BB" w:rsidRDefault="00C257BB" w:rsidP="00C257BB">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1717FAB3" w14:textId="77777777" w:rsidR="00C257BB" w:rsidRDefault="00C257BB" w:rsidP="00C257BB">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0DF96073" w14:textId="77777777" w:rsidR="00C257BB" w:rsidRDefault="00C257BB" w:rsidP="00C257BB">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32F5D0D4" w14:textId="77777777" w:rsidR="00C257BB" w:rsidRDefault="00C257BB" w:rsidP="00C257BB">
      <w:pPr>
        <w:widowControl w:val="0"/>
        <w:autoSpaceDE w:val="0"/>
        <w:autoSpaceDN w:val="0"/>
        <w:adjustRightInd w:val="0"/>
        <w:spacing w:before="10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Las leyes Nº 23.660 y 23.661 y los Decretos Nº 9/93, Nº 576/93, Nº 1615/96, Nº 1301/97 y Nº 504/98 y las Resoluciones Nº 037/98-SSSalud, Nº 180/99-SSSalud, y el Expediente Nº 147353/08-SSSalud y</w:t>
      </w:r>
    </w:p>
    <w:p w14:paraId="1B591F92" w14:textId="77777777" w:rsidR="00C257BB" w:rsidRDefault="00C257BB" w:rsidP="00C257BB">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451CF39D" w14:textId="77777777" w:rsidR="00C257BB" w:rsidRDefault="00C257BB" w:rsidP="00C257BB">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02BAA422" w14:textId="77777777" w:rsidR="00C257BB" w:rsidRDefault="00C257BB" w:rsidP="00C257BB">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4D375483" w14:textId="77777777" w:rsidR="00C257BB" w:rsidRDefault="00C257BB" w:rsidP="00C257BB">
      <w:pPr>
        <w:widowControl w:val="0"/>
        <w:autoSpaceDE w:val="0"/>
        <w:autoSpaceDN w:val="0"/>
        <w:adjustRightInd w:val="0"/>
        <w:spacing w:after="0" w:line="237" w:lineRule="auto"/>
        <w:ind w:right="-1"/>
        <w:jc w:val="both"/>
        <w:rPr>
          <w:rFonts w:ascii="Times New Roman" w:hAnsi="Times New Roman" w:cs="Times New Roman"/>
          <w:sz w:val="19"/>
          <w:szCs w:val="19"/>
          <w:lang w:val="es-ES"/>
        </w:rPr>
      </w:pPr>
    </w:p>
    <w:p w14:paraId="5EB20D37" w14:textId="77777777" w:rsidR="00C257BB" w:rsidRDefault="00C257BB" w:rsidP="00C257BB">
      <w:pPr>
        <w:widowControl w:val="0"/>
        <w:autoSpaceDE w:val="0"/>
        <w:autoSpaceDN w:val="0"/>
        <w:adjustRightInd w:val="0"/>
        <w:spacing w:after="0" w:line="240" w:lineRule="auto"/>
        <w:ind w:right="-1"/>
        <w:rPr>
          <w:rFonts w:ascii="Times New Roman" w:hAnsi="Times New Roman" w:cs="Times New Roman"/>
          <w:sz w:val="19"/>
          <w:szCs w:val="19"/>
          <w:lang w:val="es-ES"/>
        </w:rPr>
      </w:pPr>
    </w:p>
    <w:p w14:paraId="6FB1EFD6" w14:textId="77777777" w:rsidR="00C257BB" w:rsidRDefault="00C257BB" w:rsidP="00C257B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Superintendencia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calidad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fiscalización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control de los Agentes que integran el Sistema Nacional del Seguro de Salud, tiene como una de sus principales funciones la de velar por el estricto cumplimiento de la normativa aplicable en materia de cobertura prestacional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cambio,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conferidas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1615/96.</w:t>
      </w:r>
    </w:p>
    <w:p w14:paraId="184AE46C" w14:textId="77777777" w:rsidR="00C257BB" w:rsidRDefault="00C257BB" w:rsidP="00C257B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C29CA7F" w14:textId="77777777" w:rsidR="00C257BB" w:rsidRDefault="00C257BB" w:rsidP="00C257B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Decreto Nº 9/93 consagró el derecho a la opción de cambio de Obra Social por parte de los beneficiarios del Sistema Nacional del Seguro de Salud, en tanto que el Decreto Nº 504/98 sistematizó y reglamentó el citado derecho, con el objeto de simplificar el procedimiento para ejercerlo.</w:t>
      </w:r>
    </w:p>
    <w:p w14:paraId="3A4A13A6" w14:textId="77777777" w:rsidR="00C257BB" w:rsidRDefault="00C257BB" w:rsidP="00C257B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6E092E8" w14:textId="77777777" w:rsidR="00C257BB" w:rsidRDefault="00C257BB" w:rsidP="00C257B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Resolución Nº 180/99-SSSALUD ha dispuesto un régimen de ejercicio de la opción de cambio mediante la utilización de un servicio de remisión por correo de la documentación.</w:t>
      </w:r>
    </w:p>
    <w:p w14:paraId="3070B2B0" w14:textId="77777777" w:rsidR="00C257BB" w:rsidRDefault="00C257BB" w:rsidP="00C257B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virtud de haberse producido denuncias, quejas y reclamos por inconsistencias, con las consecuentes anulaciones de muchas opciones ejercidas mediante este sistema, se considera prudente proceder a derogar la normativa que prevé el ejercicio de esta forma de opción de cambio. Ello, teniendo en cuenta -además- que no resulta posible suponer que aquellas entidades que no cuenten con sedes administrativas y/o prestacionales en determinado territorio puedan afiliar beneficiarios por vía postal.</w:t>
      </w:r>
    </w:p>
    <w:p w14:paraId="6E83CCB2" w14:textId="77777777" w:rsidR="00C257BB" w:rsidRDefault="00C257BB" w:rsidP="00C257B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150C2CC" w14:textId="77777777" w:rsidR="00C257BB" w:rsidRDefault="00C257BB" w:rsidP="00C257B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a los efectos de evitar el cercenamiento del derecho de aquella persona que no puede desplazarse por motivos de salud, </w:t>
      </w:r>
      <w:proofErr w:type="spellStart"/>
      <w:r>
        <w:rPr>
          <w:rFonts w:ascii="Trebuchet MS" w:hAnsi="Trebuchet MS" w:cs="Trebuchet MS"/>
          <w:kern w:val="1"/>
          <w:sz w:val="19"/>
          <w:szCs w:val="19"/>
          <w:lang w:val="es-ES"/>
        </w:rPr>
        <w:t>considérase</w:t>
      </w:r>
      <w:proofErr w:type="spellEnd"/>
      <w:r>
        <w:rPr>
          <w:rFonts w:ascii="Trebuchet MS" w:hAnsi="Trebuchet MS" w:cs="Trebuchet MS"/>
          <w:kern w:val="1"/>
          <w:sz w:val="19"/>
          <w:szCs w:val="19"/>
          <w:lang w:val="es-ES"/>
        </w:rPr>
        <w:t xml:space="preserve"> la posibilidad de efectuar la opción de cambio en su domicilio, con el procedimiento previsto en el articulado de esta resolución.</w:t>
      </w:r>
    </w:p>
    <w:p w14:paraId="224DE8F3" w14:textId="77777777" w:rsidR="00C257BB" w:rsidRDefault="00C257BB" w:rsidP="00C257B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1EE67C7" w14:textId="77777777" w:rsidR="00C257BB" w:rsidRDefault="00C257BB" w:rsidP="00C257B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compete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Gerencia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Estratégica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Gerencia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Asuntos Jurídicos de 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Organismo.</w:t>
      </w:r>
    </w:p>
    <w:p w14:paraId="52100B4B" w14:textId="77777777" w:rsidR="00C257BB" w:rsidRDefault="00C257BB" w:rsidP="00C257BB">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ejercicio de las facultades conferidas por los Decretos Nº 1615/96 y 1892/08.</w:t>
      </w:r>
    </w:p>
    <w:p w14:paraId="4C8E1975" w14:textId="77777777" w:rsidR="00C257BB" w:rsidRDefault="00C257BB" w:rsidP="00C257B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27375D9" w14:textId="77777777" w:rsidR="00C257BB" w:rsidRDefault="00C257BB" w:rsidP="00C257BB">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225A086C" w14:textId="77777777" w:rsidR="00C257BB" w:rsidRDefault="00C257BB" w:rsidP="00C257BB">
      <w:pPr>
        <w:widowControl w:val="0"/>
        <w:autoSpaceDE w:val="0"/>
        <w:autoSpaceDN w:val="0"/>
        <w:adjustRightInd w:val="0"/>
        <w:spacing w:after="0" w:line="237" w:lineRule="auto"/>
        <w:ind w:right="-1"/>
        <w:rPr>
          <w:rFonts w:ascii="Trebuchet MS" w:hAnsi="Trebuchet MS" w:cs="Trebuchet MS"/>
          <w:b/>
          <w:bCs/>
          <w:kern w:val="1"/>
          <w:sz w:val="19"/>
          <w:szCs w:val="19"/>
          <w:lang w:val="es-ES"/>
        </w:rPr>
      </w:pPr>
    </w:p>
    <w:p w14:paraId="227CBF3B" w14:textId="77777777" w:rsidR="00C257BB" w:rsidRDefault="00C257BB" w:rsidP="00C257BB">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bookmarkStart w:id="0" w:name="_GoBack"/>
      <w:bookmarkEnd w:id="0"/>
      <w:r>
        <w:rPr>
          <w:rFonts w:ascii="Trebuchet MS" w:hAnsi="Trebuchet MS" w:cs="Trebuchet MS"/>
          <w:b/>
          <w:bCs/>
          <w:kern w:val="1"/>
          <w:sz w:val="19"/>
          <w:szCs w:val="19"/>
          <w:lang w:val="es-ES"/>
        </w:rPr>
        <w:t>EL SUPERINTENDENTE DE SERVICIOS DE SALUD RESUELVE:</w:t>
      </w:r>
    </w:p>
    <w:p w14:paraId="26C0F329" w14:textId="77777777" w:rsidR="00C257BB" w:rsidRDefault="00C257BB" w:rsidP="00C257BB">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533D2344" w14:textId="77777777" w:rsidR="00C257BB" w:rsidRDefault="00C257BB" w:rsidP="00C257B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Derógase</w:t>
      </w:r>
      <w:proofErr w:type="spellEnd"/>
      <w:r>
        <w:rPr>
          <w:rFonts w:ascii="Trebuchet MS" w:hAnsi="Trebuchet MS" w:cs="Trebuchet MS"/>
          <w:kern w:val="1"/>
          <w:sz w:val="19"/>
          <w:szCs w:val="19"/>
          <w:lang w:val="es-ES"/>
        </w:rPr>
        <w:t xml:space="preserve"> el párrafo final del artículo 2 de la Resolución Nº 037/98 del Registro de la Superintendencia de Servicios de Salud, introducido por la Resolución Nº 180/99-SSSalud, que consecuentemente también se deroga. Por ende no podrá ejercitarse la opción de cambio de obra social por correo en ningún supuesto.</w:t>
      </w:r>
    </w:p>
    <w:p w14:paraId="6B7ECA75" w14:textId="77777777" w:rsidR="00C257BB" w:rsidRDefault="00C257BB" w:rsidP="00C257B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A29D3C6" w14:textId="77777777" w:rsidR="00C257BB" w:rsidRDefault="00C257BB" w:rsidP="00C257BB">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beneficiarios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motivos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debidamente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justificados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médico</w:t>
      </w:r>
    </w:p>
    <w:p w14:paraId="31AE5B13" w14:textId="77777777" w:rsidR="00C257BB" w:rsidRDefault="00C257BB" w:rsidP="00C257BB">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-emitido por un profesional habilitado e inscripto en el Registro de Prestadores de esta Superintendencia de Servicios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puedan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desplazarse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sí</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permanente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Agente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Salud para ejercer su derecho de opción de cambio, podrán ejercitarlo, únicamente, frente a un responsable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dicho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Agente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habilitado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Superintendencia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desplace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domicilio</w:t>
      </w:r>
    </w:p>
    <w:p w14:paraId="08E8C365" w14:textId="77777777" w:rsidR="00C257BB" w:rsidRDefault="00C257BB" w:rsidP="00C257BB">
      <w:pPr>
        <w:widowControl w:val="0"/>
        <w:autoSpaceDE w:val="0"/>
        <w:autoSpaceDN w:val="0"/>
        <w:adjustRightInd w:val="0"/>
        <w:spacing w:before="90" w:after="0" w:line="237" w:lineRule="auto"/>
        <w:ind w:right="-1"/>
        <w:jc w:val="both"/>
        <w:rPr>
          <w:rFonts w:ascii="Times New Roman" w:hAnsi="Times New Roman" w:cs="Times New Roman"/>
          <w:kern w:val="1"/>
          <w:sz w:val="19"/>
          <w:szCs w:val="19"/>
          <w:lang w:val="es-ES"/>
        </w:rPr>
      </w:pPr>
    </w:p>
    <w:p w14:paraId="649CA4D9" w14:textId="77777777" w:rsidR="00C257BB" w:rsidRDefault="00C257BB" w:rsidP="00C257B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86D0AA5" w14:textId="77777777" w:rsidR="00C257BB" w:rsidRDefault="00C257BB" w:rsidP="00C257BB">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del optante a ese solo efecto. Al formulario de opción de cambio previsto en el Anexo de la Resolución Nº 37/98-SSSalud debidamente completado y firmado tanto por el beneficiario como por el funcionario actuante, deberá adosarse el original del certificado médico exigido, para su registro.</w:t>
      </w:r>
    </w:p>
    <w:p w14:paraId="3A3E58C6" w14:textId="77777777" w:rsidR="00C257BB" w:rsidRDefault="00C257BB" w:rsidP="00C257B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4E06EF0" w14:textId="77777777" w:rsidR="00C257BB" w:rsidRDefault="00C257BB" w:rsidP="00C257B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En el supuesto previsto en el artículo anterior, el funcionario habilitado podrá trasladar momentáneamente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Libro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Cambio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rubricado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Agente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 Seguro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Salud.</w:t>
      </w:r>
    </w:p>
    <w:p w14:paraId="310C99D9" w14:textId="77777777" w:rsidR="00C257BB" w:rsidRDefault="00C257BB" w:rsidP="00C257B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B76D733" w14:textId="77777777" w:rsidR="00C257BB" w:rsidRDefault="00C257BB" w:rsidP="00C257B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4 - Regístrese,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oportunamente archívese. - Juan A. </w:t>
      </w:r>
      <w:proofErr w:type="spellStart"/>
      <w:r>
        <w:rPr>
          <w:rFonts w:ascii="Trebuchet MS" w:hAnsi="Trebuchet MS" w:cs="Trebuchet MS"/>
          <w:kern w:val="1"/>
          <w:sz w:val="19"/>
          <w:szCs w:val="19"/>
          <w:lang w:val="es-ES"/>
        </w:rPr>
        <w:t>Rinaldi</w:t>
      </w:r>
      <w:proofErr w:type="spellEnd"/>
      <w:r>
        <w:rPr>
          <w:rFonts w:ascii="Trebuchet MS" w:hAnsi="Trebuchet MS" w:cs="Trebuchet MS"/>
          <w:kern w:val="1"/>
          <w:sz w:val="19"/>
          <w:szCs w:val="19"/>
          <w:lang w:val="es-ES"/>
        </w:rPr>
        <w:t>.</w:t>
      </w:r>
    </w:p>
    <w:p w14:paraId="6CDB0543" w14:textId="39F7095A" w:rsidR="00592F1B" w:rsidRPr="00AC3BA6" w:rsidRDefault="00592F1B" w:rsidP="00C257B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257BB"/>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3355</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2021-05-18T13:11:00Z</dcterms:created>
  <dcterms:modified xsi:type="dcterms:W3CDTF">2021-05-18T13:11:00Z</dcterms:modified>
</cp:coreProperties>
</file>