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56A10" w14:textId="77777777" w:rsidR="0062704F" w:rsidRDefault="0062704F" w:rsidP="0062704F">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1052B238" w14:textId="77777777" w:rsidR="0062704F" w:rsidRDefault="0062704F" w:rsidP="0062704F">
      <w:pPr>
        <w:widowControl w:val="0"/>
        <w:autoSpaceDE w:val="0"/>
        <w:autoSpaceDN w:val="0"/>
        <w:adjustRightInd w:val="0"/>
        <w:spacing w:after="0" w:line="20" w:lineRule="exact"/>
        <w:ind w:right="-1"/>
        <w:rPr>
          <w:rFonts w:ascii="Times New Roman" w:hAnsi="Times New Roman" w:cs="Times New Roman"/>
          <w:sz w:val="2"/>
          <w:szCs w:val="2"/>
          <w:lang w:val="es-ES"/>
        </w:rPr>
      </w:pPr>
    </w:p>
    <w:p w14:paraId="4F8BCFFB" w14:textId="77777777" w:rsidR="0062704F" w:rsidRDefault="0062704F" w:rsidP="0062704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1B6AE85" w14:textId="77777777" w:rsidR="0062704F" w:rsidRDefault="0062704F" w:rsidP="0062704F">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391B53A0" w14:textId="77777777" w:rsidR="0062704F" w:rsidRDefault="0062704F" w:rsidP="0062704F">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DESAFÍOS Y METAS PARA EL SECTOR EDUCATIVO </w:t>
      </w:r>
    </w:p>
    <w:p w14:paraId="1851F218" w14:textId="6863E8C1" w:rsidR="0062704F" w:rsidRDefault="0062704F" w:rsidP="0062704F">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MERCOSUR 2000</w:t>
      </w:r>
    </w:p>
    <w:p w14:paraId="1AC14B07" w14:textId="77777777" w:rsidR="0062704F" w:rsidRDefault="0062704F" w:rsidP="0062704F">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046809E3" w14:textId="77777777" w:rsidR="0062704F" w:rsidRDefault="0062704F" w:rsidP="0062704F">
      <w:pPr>
        <w:widowControl w:val="0"/>
        <w:autoSpaceDE w:val="0"/>
        <w:autoSpaceDN w:val="0"/>
        <w:adjustRightInd w:val="0"/>
        <w:spacing w:before="1" w:after="0" w:line="240" w:lineRule="auto"/>
        <w:ind w:right="-1"/>
        <w:rPr>
          <w:rFonts w:ascii="Times New Roman" w:hAnsi="Times New Roman" w:cs="Times New Roman"/>
          <w:b/>
          <w:bCs/>
          <w:sz w:val="19"/>
          <w:szCs w:val="19"/>
          <w:lang w:val="es-ES"/>
        </w:rPr>
      </w:pPr>
      <w:r>
        <w:rPr>
          <w:rFonts w:ascii="Trebuchet MS" w:hAnsi="Trebuchet MS" w:cs="Trebuchet MS"/>
          <w:b/>
          <w:bCs/>
          <w:sz w:val="19"/>
          <w:szCs w:val="19"/>
          <w:u w:val="single"/>
          <w:lang w:val="es-ES"/>
        </w:rPr>
        <w:t>Los signos de la época</w:t>
      </w:r>
    </w:p>
    <w:p w14:paraId="265001BD" w14:textId="77777777" w:rsidR="0062704F" w:rsidRDefault="0062704F" w:rsidP="0062704F">
      <w:pPr>
        <w:widowControl w:val="0"/>
        <w:autoSpaceDE w:val="0"/>
        <w:autoSpaceDN w:val="0"/>
        <w:adjustRightInd w:val="0"/>
        <w:spacing w:before="8" w:after="0" w:line="240" w:lineRule="auto"/>
        <w:ind w:right="-1"/>
        <w:rPr>
          <w:rFonts w:ascii="Times New Roman" w:hAnsi="Times New Roman" w:cs="Times New Roman"/>
          <w:b/>
          <w:bCs/>
          <w:sz w:val="18"/>
          <w:szCs w:val="18"/>
          <w:lang w:val="es-ES"/>
        </w:rPr>
      </w:pPr>
    </w:p>
    <w:p w14:paraId="665F72F2" w14:textId="77777777" w:rsidR="0062704F" w:rsidRDefault="0062704F" w:rsidP="0062704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Asistimos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hoy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extraordinario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proceso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transformación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provoca,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conjunto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 sociedades, una sensación de incertidumbre y una búsqueda de recomposición de sentido que compromete a 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diversos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actores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sociales,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nosotros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elaboración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políticas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públicas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pertinentes.</w:t>
      </w:r>
    </w:p>
    <w:p w14:paraId="76C98C19" w14:textId="77777777" w:rsidR="0062704F" w:rsidRDefault="0062704F" w:rsidP="0062704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D108149" w14:textId="77777777" w:rsidR="0062704F" w:rsidRDefault="0062704F" w:rsidP="006270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nuevo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ordenamiento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internacional,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radicales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innovaciones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tecnológicas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reestructuración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los sistemas productivos están asociados a la transformación y reelaboración de paradigmas culturales que afectan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modo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directo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educacional,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multiplicando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demandas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mismo.</w:t>
      </w:r>
    </w:p>
    <w:p w14:paraId="6D3C9E11" w14:textId="77777777" w:rsidR="0062704F" w:rsidRDefault="0062704F" w:rsidP="006270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988D621" w14:textId="77777777" w:rsidR="0062704F" w:rsidRDefault="0062704F" w:rsidP="0062704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los países que integran el MERCOSUR, la conciencia de las cuestiones arriba mencionadas, así como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requerimientos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inherentes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procesos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democratización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inclusión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creciente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población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 particularmente los sectores menos favorecidos - en los nuevos contextos sociales, políticos y culturales, configuran la base de un esfuerzo conjunto a</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desarrollar.</w:t>
      </w:r>
    </w:p>
    <w:p w14:paraId="218B95D1" w14:textId="77777777" w:rsidR="0062704F" w:rsidRDefault="0062704F" w:rsidP="006270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2FF4700" w14:textId="77777777" w:rsidR="0062704F" w:rsidRDefault="0062704F" w:rsidP="0062704F">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165376D6" w14:textId="77777777" w:rsidR="0062704F" w:rsidRDefault="0062704F" w:rsidP="0062704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B02AD30" w14:textId="77777777" w:rsidR="0062704F" w:rsidRDefault="0062704F" w:rsidP="006270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Estamos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convencidos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MERCOSUR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favorece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construcción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América.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Latina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cual la diversidad cultural, física y geográfica se conforma en una base para el proceso permanente de diálogo e intercambios recíprocos, favoreciendo a todos sin suprimir la particularidad de cada</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país.</w:t>
      </w:r>
    </w:p>
    <w:p w14:paraId="50BAD2D1" w14:textId="77777777" w:rsidR="0062704F" w:rsidRDefault="0062704F" w:rsidP="0062704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A368799" w14:textId="77777777" w:rsidR="0062704F" w:rsidRDefault="0062704F" w:rsidP="0062704F">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Estamos convencidos, también que los avances en el sentido de cooperación en el área educativa son esenciales en este proceso de integración diversificada.</w:t>
      </w:r>
    </w:p>
    <w:p w14:paraId="08FCD319" w14:textId="77777777" w:rsidR="0062704F" w:rsidRDefault="0062704F" w:rsidP="0062704F">
      <w:pPr>
        <w:widowControl w:val="0"/>
        <w:autoSpaceDE w:val="0"/>
        <w:autoSpaceDN w:val="0"/>
        <w:adjustRightInd w:val="0"/>
        <w:spacing w:after="0" w:line="240" w:lineRule="auto"/>
        <w:ind w:right="-1"/>
        <w:rPr>
          <w:rFonts w:ascii="Times New Roman" w:hAnsi="Times New Roman" w:cs="Times New Roman"/>
          <w:kern w:val="1"/>
          <w:lang w:val="es-ES"/>
        </w:rPr>
      </w:pPr>
    </w:p>
    <w:p w14:paraId="663B29BE" w14:textId="77777777" w:rsidR="0062704F" w:rsidRDefault="0062704F" w:rsidP="0062704F">
      <w:pPr>
        <w:widowControl w:val="0"/>
        <w:autoSpaceDE w:val="0"/>
        <w:autoSpaceDN w:val="0"/>
        <w:adjustRightInd w:val="0"/>
        <w:spacing w:before="178" w:after="0" w:line="240" w:lineRule="auto"/>
        <w:ind w:right="-1"/>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La etapa fundacional</w:t>
      </w:r>
    </w:p>
    <w:p w14:paraId="06BD38B1" w14:textId="77777777" w:rsidR="0062704F" w:rsidRDefault="0062704F" w:rsidP="0062704F">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24348989" w14:textId="77777777" w:rsidR="0062704F" w:rsidRDefault="0062704F" w:rsidP="0062704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MERCOSUR es la primera experiencia de integración regional que, al momento de entrar en vigor, cuenta con el Sector Educativo constituido y en funcionamiento.</w:t>
      </w:r>
    </w:p>
    <w:p w14:paraId="0E8D1F32" w14:textId="77777777" w:rsidR="0062704F" w:rsidRDefault="0062704F" w:rsidP="006270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6F26D25" w14:textId="77777777" w:rsidR="0062704F" w:rsidRDefault="0062704F" w:rsidP="006270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Al poco tiempo de la celebración del Tratado de Asunción que da nacimiento al MERCOSUR, los Ministros de Educación de Argentina, Brasil, Paraguay y Uruguay firmaron un Protocolo de Intenciones que incluyó las siguientes áreas:</w:t>
      </w:r>
    </w:p>
    <w:p w14:paraId="2D52162F" w14:textId="77777777" w:rsidR="0062704F" w:rsidRDefault="0062704F" w:rsidP="0062704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129D893" w14:textId="010F7061" w:rsidR="0062704F" w:rsidRDefault="0062704F" w:rsidP="0062704F">
      <w:pPr>
        <w:widowControl w:val="0"/>
        <w:tabs>
          <w:tab w:val="left" w:pos="1131"/>
        </w:tabs>
        <w:autoSpaceDE w:val="0"/>
        <w:autoSpaceDN w:val="0"/>
        <w:adjustRightInd w:val="0"/>
        <w:spacing w:before="1" w:after="0" w:line="220"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Formación de la conciencia ciudadana favorable al proceso de</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integración.</w:t>
      </w:r>
    </w:p>
    <w:p w14:paraId="7D664E86" w14:textId="4BA124AF" w:rsidR="0062704F" w:rsidRDefault="0062704F" w:rsidP="0062704F">
      <w:pPr>
        <w:widowControl w:val="0"/>
        <w:tabs>
          <w:tab w:val="left" w:pos="1131"/>
        </w:tabs>
        <w:autoSpaceDE w:val="0"/>
        <w:autoSpaceDN w:val="0"/>
        <w:adjustRightInd w:val="0"/>
        <w:spacing w:after="0" w:line="219"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Capacitación de los recursos humanos para contribuir al</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desarrollo.</w:t>
      </w:r>
    </w:p>
    <w:p w14:paraId="58DF63B0" w14:textId="7CD7A10B" w:rsidR="0062704F" w:rsidRDefault="0062704F" w:rsidP="0062704F">
      <w:pPr>
        <w:widowControl w:val="0"/>
        <w:tabs>
          <w:tab w:val="left" w:pos="1132"/>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Armonización de los sistemas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educativos.</w:t>
      </w:r>
    </w:p>
    <w:p w14:paraId="0D003E44" w14:textId="77777777" w:rsidR="0062704F" w:rsidRDefault="0062704F" w:rsidP="0062704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D617CAF" w14:textId="77777777" w:rsidR="0062704F" w:rsidRDefault="0062704F" w:rsidP="0062704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En junio de 1992 el Consejo del Mercado Común aprobó el </w:t>
      </w:r>
      <w:r>
        <w:rPr>
          <w:rFonts w:ascii="Trebuchet MS" w:hAnsi="Trebuchet MS" w:cs="Trebuchet MS"/>
          <w:b/>
          <w:bCs/>
          <w:kern w:val="1"/>
          <w:sz w:val="19"/>
          <w:szCs w:val="19"/>
          <w:lang w:val="es-ES"/>
        </w:rPr>
        <w:t>Plan Trienal para el Sector Educación en el</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Contexto</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del</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MERCOSUR,</w:t>
      </w:r>
      <w:r>
        <w:rPr>
          <w:rFonts w:ascii="Trebuchet MS" w:hAnsi="Trebuchet MS" w:cs="Trebuchet MS"/>
          <w:b/>
          <w:bCs/>
          <w:spacing w:val="-4"/>
          <w:kern w:val="1"/>
          <w:sz w:val="19"/>
          <w:szCs w:val="19"/>
          <w:lang w:val="es-ES"/>
        </w:rPr>
        <w:t xml:space="preserve"> </w:t>
      </w:r>
      <w:r>
        <w:rPr>
          <w:rFonts w:ascii="Trebuchet MS" w:hAnsi="Trebuchet MS" w:cs="Trebuchet MS"/>
          <w:kern w:val="1"/>
          <w:sz w:val="19"/>
          <w:szCs w:val="19"/>
          <w:lang w:val="es-ES"/>
        </w:rPr>
        <w:t>elaborado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base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áreas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incluidas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Protocolo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Intenciones.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 xml:space="preserve">Su vigencia ha sido ratificada, en la Reunión de Ministros de Educación, celebrada en </w:t>
      </w:r>
      <w:proofErr w:type="spellStart"/>
      <w:r>
        <w:rPr>
          <w:rFonts w:ascii="Trebuchet MS" w:hAnsi="Trebuchet MS" w:cs="Trebuchet MS"/>
          <w:kern w:val="1"/>
          <w:sz w:val="19"/>
          <w:szCs w:val="19"/>
          <w:lang w:val="es-ES"/>
        </w:rPr>
        <w:t>Ouro</w:t>
      </w:r>
      <w:proofErr w:type="spellEnd"/>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Preto</w:t>
      </w:r>
      <w:proofErr w:type="spellEnd"/>
      <w:r>
        <w:rPr>
          <w:rFonts w:ascii="Trebuchet MS" w:hAnsi="Trebuchet MS" w:cs="Trebuchet MS"/>
          <w:kern w:val="1"/>
          <w:sz w:val="19"/>
          <w:szCs w:val="19"/>
          <w:lang w:val="es-ES"/>
        </w:rPr>
        <w:t>, en diciembre de 1994, hasta el 31 de diciembre</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de1997.</w:t>
      </w:r>
    </w:p>
    <w:p w14:paraId="7FF93870" w14:textId="77777777" w:rsidR="0062704F" w:rsidRDefault="0062704F" w:rsidP="006270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6F70BFD" w14:textId="77777777" w:rsidR="0062704F" w:rsidRDefault="0062704F" w:rsidP="0062704F">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r>
        <w:rPr>
          <w:rFonts w:ascii="Trebuchet MS" w:hAnsi="Trebuchet MS" w:cs="Trebuchet MS"/>
          <w:kern w:val="1"/>
          <w:sz w:val="19"/>
          <w:szCs w:val="19"/>
          <w:lang w:val="es-ES"/>
        </w:rPr>
        <w:t xml:space="preserve">Asimismo, en los países de la región se iniciaron procesos destinados a implementar profundas transformaciones en la educación, a los fines de acceder a mayores niveles en la </w:t>
      </w:r>
      <w:r>
        <w:rPr>
          <w:rFonts w:ascii="Trebuchet MS" w:hAnsi="Trebuchet MS" w:cs="Trebuchet MS"/>
          <w:b/>
          <w:bCs/>
          <w:kern w:val="1"/>
          <w:sz w:val="19"/>
          <w:szCs w:val="19"/>
          <w:lang w:val="es-ES"/>
        </w:rPr>
        <w:t>calidad educativa</w:t>
      </w:r>
      <w:r>
        <w:rPr>
          <w:rFonts w:ascii="Trebuchet MS" w:hAnsi="Trebuchet MS" w:cs="Trebuchet MS"/>
          <w:kern w:val="1"/>
          <w:sz w:val="19"/>
          <w:szCs w:val="19"/>
          <w:lang w:val="es-ES"/>
        </w:rPr>
        <w:t xml:space="preserve">, dotando a los sistemas de la necesaria </w:t>
      </w:r>
      <w:r>
        <w:rPr>
          <w:rFonts w:ascii="Trebuchet MS" w:hAnsi="Trebuchet MS" w:cs="Trebuchet MS"/>
          <w:b/>
          <w:bCs/>
          <w:kern w:val="1"/>
          <w:sz w:val="19"/>
          <w:szCs w:val="19"/>
          <w:lang w:val="es-ES"/>
        </w:rPr>
        <w:t>equidad, efectividad, eficiencia y pertinencia</w:t>
      </w:r>
      <w:r>
        <w:rPr>
          <w:rFonts w:ascii="Times New Roman" w:hAnsi="Times New Roman" w:cs="Times New Roman"/>
          <w:kern w:val="1"/>
          <w:sz w:val="19"/>
          <w:szCs w:val="19"/>
          <w:lang w:val="es-ES"/>
        </w:rPr>
        <w:t>.</w:t>
      </w:r>
    </w:p>
    <w:p w14:paraId="1E93A096" w14:textId="77777777" w:rsidR="0062704F" w:rsidRDefault="0062704F" w:rsidP="0062704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0844C66" w14:textId="77777777" w:rsidR="0062704F" w:rsidRDefault="0062704F" w:rsidP="0062704F">
      <w:pPr>
        <w:widowControl w:val="0"/>
        <w:autoSpaceDE w:val="0"/>
        <w:autoSpaceDN w:val="0"/>
        <w:adjustRightInd w:val="0"/>
        <w:spacing w:before="1"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lo tanto, el Sector Educativo del MERCOSUR se abocó a profundizar el diálogo entre los países, habiendo cumplido con una primera etapa caracterizada principalmente por:</w:t>
      </w:r>
    </w:p>
    <w:p w14:paraId="0E73977C" w14:textId="77777777" w:rsidR="0062704F" w:rsidRDefault="0062704F" w:rsidP="0062704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3872CE5" w14:textId="77777777" w:rsidR="0062704F" w:rsidRDefault="0062704F" w:rsidP="0062704F">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construcción de un instrumento institucional básico compuesto por la Reunión Especializada de Ministros de Educación - generadora de políticas y estrategias -, el Comité Coordinador Regional -</w:t>
      </w:r>
    </w:p>
    <w:p w14:paraId="73D1ED2F" w14:textId="77777777" w:rsidR="0062704F" w:rsidRDefault="0062704F" w:rsidP="0062704F">
      <w:pPr>
        <w:widowControl w:val="0"/>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responsable de su ejecución - y las Comisiones Técnicas Regionales - proveedoras de insumos teóricos y conceptuales para su implementación -.</w:t>
      </w:r>
    </w:p>
    <w:p w14:paraId="5785136B" w14:textId="77777777" w:rsidR="0062704F" w:rsidRDefault="0062704F" w:rsidP="0062704F">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realización de diversas tareas de armonización de los sistemas y procesos educativos de los estados miembros, que encontraron formalización en los diversos Protocolos firmados.</w:t>
      </w:r>
    </w:p>
    <w:p w14:paraId="2746C6B7" w14:textId="77777777" w:rsidR="0062704F" w:rsidRDefault="0062704F" w:rsidP="0062704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14221F6" w14:textId="77777777" w:rsidR="0062704F" w:rsidRDefault="0062704F" w:rsidP="006270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logro de estos objetivos, que se distinguen por la superación de muchos obstáculos nacidos de las particularidades nacionales permite considerar que un primer momento del proceso de integración regional ha concluido.</w:t>
      </w:r>
    </w:p>
    <w:p w14:paraId="2D3AD40C" w14:textId="77777777" w:rsidR="0062704F" w:rsidRDefault="0062704F" w:rsidP="0062704F">
      <w:pPr>
        <w:widowControl w:val="0"/>
        <w:autoSpaceDE w:val="0"/>
        <w:autoSpaceDN w:val="0"/>
        <w:adjustRightInd w:val="0"/>
        <w:spacing w:before="180" w:after="0" w:line="240" w:lineRule="auto"/>
        <w:ind w:right="-1"/>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La segunda etapa</w:t>
      </w:r>
    </w:p>
    <w:p w14:paraId="44E58F86" w14:textId="77777777" w:rsidR="0062704F" w:rsidRDefault="0062704F" w:rsidP="0062704F">
      <w:pPr>
        <w:widowControl w:val="0"/>
        <w:autoSpaceDE w:val="0"/>
        <w:autoSpaceDN w:val="0"/>
        <w:adjustRightInd w:val="0"/>
        <w:spacing w:before="2" w:after="0" w:line="240" w:lineRule="auto"/>
        <w:ind w:right="-1"/>
        <w:rPr>
          <w:rFonts w:ascii="Times New Roman" w:hAnsi="Times New Roman" w:cs="Times New Roman"/>
          <w:b/>
          <w:bCs/>
          <w:kern w:val="1"/>
          <w:sz w:val="10"/>
          <w:szCs w:val="10"/>
          <w:lang w:val="es-ES"/>
        </w:rPr>
      </w:pPr>
    </w:p>
    <w:p w14:paraId="35BFE63D" w14:textId="77777777" w:rsidR="0062704F" w:rsidRDefault="0062704F" w:rsidP="0062704F">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Corresponde a esta nueva etapa la puesta en ejecución de políticas de impacto directo en el escenario de requerimientos diseñado por nuestras sociedades, de manera tal que las mismas se constituyan en adecuadas respuestas a las necesidades y expectativas de los pueblos de la región.</w:t>
      </w:r>
    </w:p>
    <w:p w14:paraId="1DF094D8" w14:textId="77777777" w:rsidR="0062704F" w:rsidRDefault="0062704F" w:rsidP="006270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18ADE6A" w14:textId="77777777" w:rsidR="0062704F" w:rsidRDefault="0062704F" w:rsidP="006270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Estas políticas deben estas dirigidas al mejoramiento de la calidad de los sistemas educativos, lo que constituye una demanda impostergable en la medida que las nuevas características de la sociedad global acentúan el papel central que le cabe a la educación en todo proceso de desarrollo.</w:t>
      </w:r>
    </w:p>
    <w:p w14:paraId="378347F9" w14:textId="77777777" w:rsidR="0062704F" w:rsidRDefault="0062704F" w:rsidP="006270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26CEF87" w14:textId="77777777" w:rsidR="0062704F" w:rsidRDefault="0062704F" w:rsidP="0062704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mejoramiento de la calidad debe, asimismo, valorizar la riqueza de nuestro patrimonio cultural que, por sí solo, constituye un valioso instrumento para el desarrollo de la persona, garantizando una vida mejor y más plena.</w:t>
      </w:r>
    </w:p>
    <w:p w14:paraId="682DE03D" w14:textId="77777777" w:rsidR="0062704F" w:rsidRDefault="0062704F" w:rsidP="0062704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1A1467A" w14:textId="77777777" w:rsidR="0062704F" w:rsidRDefault="0062704F" w:rsidP="0062704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3195E56" w14:textId="77777777" w:rsidR="0062704F" w:rsidRDefault="0062704F" w:rsidP="006270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avanzar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tarea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Sector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Educativo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MERCOSUR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considerado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inicio,</w:t>
      </w:r>
      <w:r>
        <w:rPr>
          <w:rFonts w:ascii="Trebuchet MS" w:hAnsi="Trebuchet MS" w:cs="Trebuchet MS"/>
          <w:spacing w:val="-6"/>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atento a otras experiencias de integración regional -, que no basta actuar sobre los intersticios de los sistemas nacionales.</w:t>
      </w:r>
    </w:p>
    <w:p w14:paraId="1F44BC92" w14:textId="77777777" w:rsidR="0062704F" w:rsidRDefault="0062704F" w:rsidP="006270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B02FC47" w14:textId="77777777" w:rsidR="0062704F" w:rsidRDefault="0062704F" w:rsidP="0062704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particularidades de nuestra región, y principalmente entre ellas la base cultural común, tornan posible y conveniente un accionar integral que contemple tanto la atención de las cuestiones del conjunto regional como la asistencia a los problemas específicos de los procesos nacionales.</w:t>
      </w:r>
    </w:p>
    <w:p w14:paraId="2C94F9B6" w14:textId="77777777" w:rsidR="0062704F" w:rsidRDefault="0062704F" w:rsidP="0062704F">
      <w:pPr>
        <w:widowControl w:val="0"/>
        <w:autoSpaceDE w:val="0"/>
        <w:autoSpaceDN w:val="0"/>
        <w:adjustRightInd w:val="0"/>
        <w:spacing w:after="0" w:line="240" w:lineRule="auto"/>
        <w:ind w:right="-1"/>
        <w:rPr>
          <w:rFonts w:ascii="Times New Roman" w:hAnsi="Times New Roman" w:cs="Times New Roman"/>
          <w:kern w:val="1"/>
          <w:lang w:val="es-ES"/>
        </w:rPr>
      </w:pPr>
    </w:p>
    <w:p w14:paraId="6A3C8901" w14:textId="77777777" w:rsidR="0062704F" w:rsidRDefault="0062704F" w:rsidP="0062704F">
      <w:pPr>
        <w:widowControl w:val="0"/>
        <w:autoSpaceDE w:val="0"/>
        <w:autoSpaceDN w:val="0"/>
        <w:adjustRightInd w:val="0"/>
        <w:spacing w:before="179" w:after="0" w:line="240" w:lineRule="auto"/>
        <w:ind w:right="-1"/>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Las áreas sustantivas</w:t>
      </w:r>
    </w:p>
    <w:p w14:paraId="2F60D14E" w14:textId="77777777" w:rsidR="0062704F" w:rsidRDefault="0062704F" w:rsidP="0062704F">
      <w:pPr>
        <w:widowControl w:val="0"/>
        <w:autoSpaceDE w:val="0"/>
        <w:autoSpaceDN w:val="0"/>
        <w:adjustRightInd w:val="0"/>
        <w:spacing w:before="3" w:after="0" w:line="240" w:lineRule="auto"/>
        <w:ind w:right="-1"/>
        <w:rPr>
          <w:rFonts w:ascii="Times New Roman" w:hAnsi="Times New Roman" w:cs="Times New Roman"/>
          <w:b/>
          <w:bCs/>
          <w:kern w:val="1"/>
          <w:sz w:val="10"/>
          <w:szCs w:val="10"/>
          <w:lang w:val="es-ES"/>
        </w:rPr>
      </w:pPr>
    </w:p>
    <w:p w14:paraId="304A68B7" w14:textId="77777777" w:rsidR="0062704F" w:rsidRDefault="0062704F" w:rsidP="0062704F">
      <w:pPr>
        <w:widowControl w:val="0"/>
        <w:autoSpaceDE w:val="0"/>
        <w:autoSpaceDN w:val="0"/>
        <w:adjustRightInd w:val="0"/>
        <w:spacing w:before="10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compleja problemática de la educación en la región, y la diversidad de cuestiones que la atraviesan, tornan imprescindible la identificación de áreas sustantivas, objeto de políticas orientadas a un tratamiento eficaz y ordenado.</w:t>
      </w:r>
    </w:p>
    <w:p w14:paraId="31A003FB" w14:textId="77777777" w:rsidR="0062704F" w:rsidRDefault="0062704F" w:rsidP="006270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2C5834E" w14:textId="77777777" w:rsidR="0062704F" w:rsidRDefault="0062704F" w:rsidP="006270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Estas políticas deben estar apoyadas en el consenso según el cual la mejora de la calidad del sistema educativo depende del fortalecimiento de la escuela, en cuanta unidad básica del proceso de enseñanza- aprendizaje y de integración del conocimiento universal con la experiencia cultural de la población.</w:t>
      </w:r>
    </w:p>
    <w:p w14:paraId="4E4B4058" w14:textId="77777777" w:rsidR="0062704F" w:rsidRDefault="0062704F" w:rsidP="0062704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7F05739" w14:textId="77777777" w:rsidR="0062704F" w:rsidRDefault="0062704F" w:rsidP="006270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eso, en esta nueva etapa, los temas de agenda de nuestros países se vinculan, fundamentalmente, a la necesidad de avanzar en la descentralización y autonomía educativa, en la transformación de la organización y de la gestión de las instituciones educativas, en la formación docente continua, en la renovación curricular, en la incorporación de materiales y equipamiento renovado, en la vinculación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mundo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producción,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instalación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cultura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evaluativa en los sistemas educativos y en la cooperación interuniversitaria en lo referido a la formación de recursos humanos y la investigación. La necesidad de contemplar las temáticas de naturaleza transversal (educación para los valores, educación para la salud, medio ambiente, etc.) recomienda su inclusión en un programa multidisciplinario. Por último, cabe señalar la importancia creciente que está teniendo el desarrollo de los servicios de información, estadística y</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documentación.</w:t>
      </w:r>
    </w:p>
    <w:p w14:paraId="1A4EE4B9" w14:textId="77777777" w:rsidR="0062704F" w:rsidRDefault="0062704F" w:rsidP="0062704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FA95DD4" w14:textId="77777777" w:rsidR="0062704F" w:rsidRDefault="0062704F" w:rsidP="006270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Sumando a la orientación provista por el Plan Trienal los criterios recolectados por la experiencia desarrollada, podemos identificar - a los fines de orientar la elaboración de proyectos - como áreas sustantivas para el trabajo regional a las siguientes:</w:t>
      </w:r>
    </w:p>
    <w:p w14:paraId="7F8178EF" w14:textId="77777777" w:rsidR="0062704F" w:rsidRDefault="0062704F" w:rsidP="0062704F">
      <w:pPr>
        <w:widowControl w:val="0"/>
        <w:autoSpaceDE w:val="0"/>
        <w:autoSpaceDN w:val="0"/>
        <w:adjustRightInd w:val="0"/>
        <w:spacing w:before="90"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Renovación Educativa. Evaluación Educativa. Cooperación Universitaria. Sistemas de Información. Educación y Trabajo.</w:t>
      </w:r>
    </w:p>
    <w:p w14:paraId="250970BF" w14:textId="77777777" w:rsidR="0062704F" w:rsidRDefault="0062704F" w:rsidP="0062704F">
      <w:pPr>
        <w:widowControl w:val="0"/>
        <w:autoSpaceDE w:val="0"/>
        <w:autoSpaceDN w:val="0"/>
        <w:adjustRightInd w:val="0"/>
        <w:spacing w:after="0" w:line="240" w:lineRule="auto"/>
        <w:ind w:right="-1"/>
        <w:rPr>
          <w:rFonts w:ascii="Times New Roman" w:hAnsi="Times New Roman" w:cs="Times New Roman"/>
          <w:kern w:val="1"/>
          <w:lang w:val="es-ES"/>
        </w:rPr>
      </w:pPr>
    </w:p>
    <w:p w14:paraId="7A852B2A" w14:textId="77777777" w:rsidR="0062704F" w:rsidRDefault="0062704F" w:rsidP="0062704F">
      <w:pPr>
        <w:widowControl w:val="0"/>
        <w:autoSpaceDE w:val="0"/>
        <w:autoSpaceDN w:val="0"/>
        <w:adjustRightInd w:val="0"/>
        <w:spacing w:before="181" w:after="0" w:line="240" w:lineRule="auto"/>
        <w:ind w:right="-1"/>
        <w:rPr>
          <w:rFonts w:ascii="Trebuchet MS" w:hAnsi="Trebuchet MS" w:cs="Trebuchet MS"/>
          <w:b/>
          <w:bCs/>
          <w:kern w:val="1"/>
          <w:sz w:val="19"/>
          <w:szCs w:val="19"/>
          <w:u w:val="single"/>
          <w:lang w:val="es-ES"/>
        </w:rPr>
      </w:pPr>
    </w:p>
    <w:p w14:paraId="61D5D4BB" w14:textId="77777777" w:rsidR="0062704F" w:rsidRDefault="0062704F" w:rsidP="0062704F">
      <w:pPr>
        <w:widowControl w:val="0"/>
        <w:autoSpaceDE w:val="0"/>
        <w:autoSpaceDN w:val="0"/>
        <w:adjustRightInd w:val="0"/>
        <w:spacing w:before="181" w:after="0" w:line="240" w:lineRule="auto"/>
        <w:ind w:right="-1"/>
        <w:rPr>
          <w:rFonts w:ascii="Trebuchet MS" w:hAnsi="Trebuchet MS" w:cs="Trebuchet MS"/>
          <w:b/>
          <w:bCs/>
          <w:kern w:val="1"/>
          <w:sz w:val="19"/>
          <w:szCs w:val="19"/>
          <w:u w:val="single"/>
          <w:lang w:val="es-ES"/>
        </w:rPr>
      </w:pPr>
    </w:p>
    <w:p w14:paraId="7637160B" w14:textId="77777777" w:rsidR="0062704F" w:rsidRDefault="0062704F" w:rsidP="0062704F">
      <w:pPr>
        <w:widowControl w:val="0"/>
        <w:autoSpaceDE w:val="0"/>
        <w:autoSpaceDN w:val="0"/>
        <w:adjustRightInd w:val="0"/>
        <w:spacing w:before="181" w:after="0" w:line="240" w:lineRule="auto"/>
        <w:ind w:right="-1"/>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Proyectos operativos</w:t>
      </w:r>
    </w:p>
    <w:p w14:paraId="3A5588DA" w14:textId="77777777" w:rsidR="0062704F" w:rsidRDefault="0062704F" w:rsidP="0062704F">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E6FD98D" w14:textId="77777777" w:rsidR="0062704F" w:rsidRDefault="0062704F" w:rsidP="006270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necesidad de sistematizar las actividades requeridas para el tratamiento de las cuestiones propias de cada una de las áreas sustantivas, indican la conveniencia de ordenar las tareas en grandes proyectos unitarios por área.</w:t>
      </w:r>
    </w:p>
    <w:p w14:paraId="23F9E591" w14:textId="77777777" w:rsidR="0062704F" w:rsidRDefault="0062704F" w:rsidP="0062704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4E8C285" w14:textId="77777777" w:rsidR="0062704F" w:rsidRDefault="0062704F" w:rsidP="006270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 esta manera se verá facilitado el otorgamiento de una respuesta integral - desde la diversidad de propuestas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operativas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componen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proyecto</w:t>
      </w:r>
      <w:r>
        <w:rPr>
          <w:rFonts w:ascii="Trebuchet MS" w:hAnsi="Trebuchet MS" w:cs="Trebuchet MS"/>
          <w:spacing w:val="-3"/>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compleja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trama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cuestiones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conforman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cada área.</w:t>
      </w:r>
    </w:p>
    <w:p w14:paraId="307B2FCD" w14:textId="77777777" w:rsidR="0062704F" w:rsidRDefault="0062704F" w:rsidP="0062704F">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00E589E4" w14:textId="77777777" w:rsidR="0062704F" w:rsidRDefault="0062704F" w:rsidP="0062704F">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Igualmente, a fin de cumplir con el objetivo de ordenamiento, dichos proyectos han de estar diseñados con la plasticidad suficiente para permitir la incorporación de nuevas problemáticas, reconversión de modalidades operativas y nuevas disposiciones de su énfasis principal según lo indique la dinámica del proceso.</w:t>
      </w:r>
    </w:p>
    <w:p w14:paraId="0DA55774" w14:textId="77777777" w:rsidR="0062704F" w:rsidRDefault="0062704F" w:rsidP="0062704F">
      <w:pPr>
        <w:widowControl w:val="0"/>
        <w:autoSpaceDE w:val="0"/>
        <w:autoSpaceDN w:val="0"/>
        <w:adjustRightInd w:val="0"/>
        <w:spacing w:after="0" w:line="240" w:lineRule="auto"/>
        <w:ind w:right="-1"/>
        <w:rPr>
          <w:rFonts w:ascii="Times New Roman" w:hAnsi="Times New Roman" w:cs="Times New Roman"/>
          <w:b/>
          <w:bCs/>
          <w:kern w:val="1"/>
          <w:sz w:val="19"/>
          <w:szCs w:val="19"/>
          <w:u w:val="single"/>
          <w:lang w:val="es-ES"/>
        </w:rPr>
      </w:pPr>
      <w:bookmarkStart w:id="0" w:name="_GoBack"/>
      <w:bookmarkEnd w:id="0"/>
    </w:p>
    <w:p w14:paraId="1B18B125" w14:textId="77777777" w:rsidR="0062704F" w:rsidRDefault="0062704F" w:rsidP="0062704F">
      <w:pPr>
        <w:widowControl w:val="0"/>
        <w:autoSpaceDE w:val="0"/>
        <w:autoSpaceDN w:val="0"/>
        <w:adjustRightInd w:val="0"/>
        <w:spacing w:before="179" w:after="0" w:line="240" w:lineRule="auto"/>
        <w:ind w:right="-1"/>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Los desafíos presentes</w:t>
      </w:r>
    </w:p>
    <w:p w14:paraId="1D508E2B" w14:textId="77777777" w:rsidR="0062704F" w:rsidRDefault="0062704F" w:rsidP="0062704F">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366AC42A" w14:textId="77777777" w:rsidR="0062704F" w:rsidRDefault="0062704F" w:rsidP="0062704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ajuste de la mecánica operativa del Comité Coordinador Regional, en la línea del fortalecimiento de su capacidad de gestión de recursos, de planificación estratégica y de vinculación entre organismos técnicos e institucionales, sin duda contribuirá a la optimización del funcionamiento del Sector, constituyendo un avance cierto en el camino hacia la obtención de las metas MERCOSUR 2000</w:t>
      </w:r>
    </w:p>
    <w:p w14:paraId="38F4501B" w14:textId="77777777" w:rsidR="0062704F" w:rsidRDefault="0062704F" w:rsidP="0062704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FB1F547" w14:textId="77777777" w:rsidR="0062704F" w:rsidRDefault="0062704F" w:rsidP="0062704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creciente democratización de nuestras sociedades en un contexto de integración regional, la transformación productiva con equidad, la afirmación de las identidades culturales y respeto a la diversidad, junto al desarrollo y la consolidación de la conciencia regional, constituyen el escenario imprescindible para continuar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avanzando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conformación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bloque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regional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unido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desarrollo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económico de sus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habitantes.</w:t>
      </w:r>
    </w:p>
    <w:p w14:paraId="4D4C2C85" w14:textId="77777777" w:rsidR="00592F1B" w:rsidRPr="00AC3BA6" w:rsidRDefault="00592F1B" w:rsidP="0062704F">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62704F"/>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1318</Words>
  <Characters>7254</Characters>
  <Application>Microsoft Macintosh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2021-06-04T18:25:00Z</dcterms:created>
  <dcterms:modified xsi:type="dcterms:W3CDTF">2021-06-04T18:25:00Z</dcterms:modified>
</cp:coreProperties>
</file>