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AA5A0" w14:textId="77777777" w:rsidR="005A060F" w:rsidRDefault="005A060F" w:rsidP="005A060F">
      <w:pPr>
        <w:widowControl w:val="0"/>
        <w:tabs>
          <w:tab w:val="left" w:pos="567"/>
        </w:tabs>
        <w:autoSpaceDE w:val="0"/>
        <w:autoSpaceDN w:val="0"/>
        <w:adjustRightInd w:val="0"/>
        <w:spacing w:before="2" w:after="0" w:line="240" w:lineRule="auto"/>
        <w:ind w:right="-1"/>
        <w:rPr>
          <w:rFonts w:ascii="Times New Roman" w:hAnsi="Times New Roman" w:cs="Times New Roman"/>
          <w:sz w:val="24"/>
          <w:szCs w:val="24"/>
          <w:lang w:val="es-ES"/>
        </w:rPr>
      </w:pPr>
    </w:p>
    <w:p w14:paraId="54C0A651" w14:textId="77777777" w:rsidR="005A060F" w:rsidRDefault="005A060F" w:rsidP="005A060F">
      <w:pPr>
        <w:widowControl w:val="0"/>
        <w:tabs>
          <w:tab w:val="left" w:pos="567"/>
        </w:tabs>
        <w:autoSpaceDE w:val="0"/>
        <w:autoSpaceDN w:val="0"/>
        <w:adjustRightInd w:val="0"/>
        <w:spacing w:after="0" w:line="20" w:lineRule="exact"/>
        <w:ind w:right="-1"/>
        <w:rPr>
          <w:rFonts w:ascii="Times New Roman" w:hAnsi="Times New Roman" w:cs="Times New Roman"/>
          <w:sz w:val="2"/>
          <w:szCs w:val="2"/>
          <w:lang w:val="es-ES"/>
        </w:rPr>
      </w:pPr>
    </w:p>
    <w:p w14:paraId="7DB95E4B" w14:textId="77777777" w:rsidR="005A060F" w:rsidRDefault="005A060F" w:rsidP="005A060F">
      <w:pPr>
        <w:widowControl w:val="0"/>
        <w:tabs>
          <w:tab w:val="left" w:pos="567"/>
        </w:tabs>
        <w:autoSpaceDE w:val="0"/>
        <w:autoSpaceDN w:val="0"/>
        <w:adjustRightInd w:val="0"/>
        <w:spacing w:after="0" w:line="240" w:lineRule="auto"/>
        <w:ind w:right="-1"/>
        <w:rPr>
          <w:rFonts w:ascii="Times New Roman" w:hAnsi="Times New Roman" w:cs="Times New Roman"/>
          <w:sz w:val="20"/>
          <w:szCs w:val="20"/>
          <w:lang w:val="es-ES"/>
        </w:rPr>
      </w:pPr>
    </w:p>
    <w:p w14:paraId="4B636087" w14:textId="77777777" w:rsidR="005A060F" w:rsidRDefault="005A060F" w:rsidP="005A060F">
      <w:pPr>
        <w:widowControl w:val="0"/>
        <w:tabs>
          <w:tab w:val="left" w:pos="567"/>
        </w:tabs>
        <w:autoSpaceDE w:val="0"/>
        <w:autoSpaceDN w:val="0"/>
        <w:adjustRightInd w:val="0"/>
        <w:spacing w:before="9" w:after="0" w:line="240" w:lineRule="auto"/>
        <w:ind w:right="-1"/>
        <w:rPr>
          <w:rFonts w:ascii="Times New Roman" w:hAnsi="Times New Roman" w:cs="Times New Roman"/>
          <w:sz w:val="18"/>
          <w:szCs w:val="18"/>
          <w:lang w:val="es-ES"/>
        </w:rPr>
      </w:pPr>
    </w:p>
    <w:p w14:paraId="3E7AE97E" w14:textId="77777777" w:rsidR="005A060F" w:rsidRDefault="005A060F" w:rsidP="005A060F">
      <w:pPr>
        <w:widowControl w:val="0"/>
        <w:tabs>
          <w:tab w:val="left" w:pos="567"/>
        </w:tabs>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HABILITACIONES DE LOCALES ESCOLARES, AMBITO DE COMPETENCIA PARA LA TRAMITACIÓN DE LAS MISMAS.</w:t>
      </w:r>
    </w:p>
    <w:p w14:paraId="0C5C676F" w14:textId="77777777" w:rsidR="005A060F" w:rsidRDefault="005A060F" w:rsidP="005A060F">
      <w:pPr>
        <w:widowControl w:val="0"/>
        <w:tabs>
          <w:tab w:val="left" w:pos="567"/>
        </w:tabs>
        <w:autoSpaceDE w:val="0"/>
        <w:autoSpaceDN w:val="0"/>
        <w:adjustRightInd w:val="0"/>
        <w:spacing w:after="0" w:line="240" w:lineRule="auto"/>
        <w:ind w:right="-1"/>
        <w:rPr>
          <w:rFonts w:ascii="Times New Roman" w:hAnsi="Times New Roman" w:cs="Times New Roman"/>
          <w:b/>
          <w:bCs/>
          <w:sz w:val="19"/>
          <w:szCs w:val="19"/>
          <w:lang w:val="es-ES"/>
        </w:rPr>
      </w:pPr>
    </w:p>
    <w:p w14:paraId="4FF8CCF0" w14:textId="77777777" w:rsidR="005A060F" w:rsidRDefault="005A060F" w:rsidP="005A060F">
      <w:pPr>
        <w:widowControl w:val="0"/>
        <w:tabs>
          <w:tab w:val="left" w:pos="567"/>
        </w:tabs>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GOBIERNO DE LA CIUDAD DE BUENOS AIRES SECRETARIA DE EDUCACION</w:t>
      </w:r>
    </w:p>
    <w:p w14:paraId="16DAF532" w14:textId="77777777" w:rsidR="005A060F" w:rsidRDefault="005A060F" w:rsidP="005A060F">
      <w:pPr>
        <w:widowControl w:val="0"/>
        <w:tabs>
          <w:tab w:val="left" w:pos="567"/>
        </w:tabs>
        <w:autoSpaceDE w:val="0"/>
        <w:autoSpaceDN w:val="0"/>
        <w:adjustRightInd w:val="0"/>
        <w:spacing w:before="1" w:after="0" w:line="240" w:lineRule="auto"/>
        <w:ind w:right="-1"/>
        <w:rPr>
          <w:rFonts w:ascii="Times New Roman" w:hAnsi="Times New Roman" w:cs="Times New Roman"/>
          <w:b/>
          <w:bCs/>
          <w:sz w:val="19"/>
          <w:szCs w:val="19"/>
          <w:lang w:val="es-ES"/>
        </w:rPr>
      </w:pPr>
    </w:p>
    <w:p w14:paraId="68FD491E" w14:textId="77777777" w:rsidR="005A060F" w:rsidRDefault="005A060F" w:rsidP="005A060F">
      <w:pPr>
        <w:widowControl w:val="0"/>
        <w:tabs>
          <w:tab w:val="left" w:pos="567"/>
        </w:tabs>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DIRECCION GENERAL DE EDUCACION DE GESTION PRIVADA</w:t>
      </w:r>
    </w:p>
    <w:p w14:paraId="57EAE873" w14:textId="77777777" w:rsidR="005A060F" w:rsidRDefault="005A060F" w:rsidP="005A060F">
      <w:pPr>
        <w:widowControl w:val="0"/>
        <w:tabs>
          <w:tab w:val="left" w:pos="567"/>
        </w:tabs>
        <w:autoSpaceDE w:val="0"/>
        <w:autoSpaceDN w:val="0"/>
        <w:adjustRightInd w:val="0"/>
        <w:spacing w:after="0" w:line="240" w:lineRule="auto"/>
        <w:ind w:right="-1"/>
        <w:rPr>
          <w:rFonts w:ascii="Times New Roman" w:hAnsi="Times New Roman" w:cs="Times New Roman"/>
          <w:b/>
          <w:bCs/>
          <w:lang w:val="es-ES"/>
        </w:rPr>
      </w:pPr>
    </w:p>
    <w:p w14:paraId="69E47AD6" w14:textId="77777777" w:rsidR="005A060F" w:rsidRDefault="005A060F" w:rsidP="005A060F">
      <w:pPr>
        <w:widowControl w:val="0"/>
        <w:tabs>
          <w:tab w:val="left" w:pos="567"/>
        </w:tabs>
        <w:autoSpaceDE w:val="0"/>
        <w:autoSpaceDN w:val="0"/>
        <w:adjustRightInd w:val="0"/>
        <w:spacing w:before="180"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Abril de 2001.</w:t>
      </w:r>
    </w:p>
    <w:p w14:paraId="7D4955A1" w14:textId="77777777" w:rsidR="005A060F" w:rsidRDefault="005A060F" w:rsidP="005A060F">
      <w:pPr>
        <w:widowControl w:val="0"/>
        <w:tabs>
          <w:tab w:val="left" w:pos="567"/>
        </w:tabs>
        <w:autoSpaceDE w:val="0"/>
        <w:autoSpaceDN w:val="0"/>
        <w:adjustRightInd w:val="0"/>
        <w:spacing w:before="2" w:after="0" w:line="240" w:lineRule="auto"/>
        <w:ind w:right="-1"/>
        <w:rPr>
          <w:rFonts w:ascii="Times New Roman" w:hAnsi="Times New Roman" w:cs="Times New Roman"/>
          <w:sz w:val="19"/>
          <w:szCs w:val="19"/>
          <w:lang w:val="es-ES"/>
        </w:rPr>
      </w:pPr>
    </w:p>
    <w:p w14:paraId="0167054B" w14:textId="77777777" w:rsidR="005A060F" w:rsidRDefault="005A060F" w:rsidP="005A060F">
      <w:pPr>
        <w:widowControl w:val="0"/>
        <w:tabs>
          <w:tab w:val="left" w:pos="567"/>
        </w:tabs>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A LOS INSTITUTOS DE GESTION PRIVADA DE LA CIUDAD DE BUENOS AIRES</w:t>
      </w:r>
    </w:p>
    <w:p w14:paraId="6842AED6" w14:textId="77777777" w:rsidR="005A060F" w:rsidRDefault="005A060F" w:rsidP="005A060F">
      <w:pPr>
        <w:widowControl w:val="0"/>
        <w:tabs>
          <w:tab w:val="left" w:pos="567"/>
        </w:tabs>
        <w:autoSpaceDE w:val="0"/>
        <w:autoSpaceDN w:val="0"/>
        <w:adjustRightInd w:val="0"/>
        <w:spacing w:before="7" w:after="0" w:line="240" w:lineRule="auto"/>
        <w:ind w:right="-1"/>
        <w:rPr>
          <w:rFonts w:ascii="Times New Roman" w:hAnsi="Times New Roman" w:cs="Times New Roman"/>
          <w:b/>
          <w:bCs/>
          <w:sz w:val="23"/>
          <w:szCs w:val="23"/>
          <w:lang w:val="es-ES"/>
        </w:rPr>
      </w:pPr>
    </w:p>
    <w:p w14:paraId="613A4878" w14:textId="77777777" w:rsidR="005A060F" w:rsidRDefault="005A060F" w:rsidP="005A060F">
      <w:pPr>
        <w:widowControl w:val="0"/>
        <w:tabs>
          <w:tab w:val="left" w:pos="567"/>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Desde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nuestra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llegada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D.G.E.G.P.,</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04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1999,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preocupado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ocupado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tema específico que, a partir de la transferencia de los servicios educativos de la Nación a las jurisdicciones, aparecía como problemático para los Institutos. El tema de referencia es el de la habilitación del local escolar.</w:t>
      </w:r>
    </w:p>
    <w:p w14:paraId="13FB0B26" w14:textId="77777777" w:rsidR="005A060F" w:rsidRDefault="005A060F" w:rsidP="005A060F">
      <w:pPr>
        <w:widowControl w:val="0"/>
        <w:tabs>
          <w:tab w:val="left" w:pos="567"/>
        </w:tabs>
        <w:autoSpaceDE w:val="0"/>
        <w:autoSpaceDN w:val="0"/>
        <w:adjustRightInd w:val="0"/>
        <w:spacing w:after="0" w:line="240" w:lineRule="auto"/>
        <w:ind w:right="-1"/>
        <w:jc w:val="both"/>
        <w:rPr>
          <w:rFonts w:ascii="Times New Roman" w:hAnsi="Times New Roman" w:cs="Times New Roman"/>
          <w:kern w:val="1"/>
          <w:sz w:val="19"/>
          <w:szCs w:val="19"/>
          <w:lang w:val="es-ES"/>
        </w:rPr>
      </w:pPr>
    </w:p>
    <w:p w14:paraId="20E76555" w14:textId="77777777" w:rsidR="005A060F" w:rsidRDefault="005A060F" w:rsidP="005A060F">
      <w:pPr>
        <w:widowControl w:val="0"/>
        <w:tabs>
          <w:tab w:val="left" w:pos="567"/>
        </w:tabs>
        <w:autoSpaceDE w:val="0"/>
        <w:autoSpaceDN w:val="0"/>
        <w:adjustRightInd w:val="0"/>
        <w:spacing w:after="0" w:line="240" w:lineRule="auto"/>
        <w:ind w:right="-1"/>
        <w:rPr>
          <w:rFonts w:ascii="Times New Roman" w:hAnsi="Times New Roman" w:cs="Times New Roman"/>
          <w:kern w:val="1"/>
          <w:sz w:val="19"/>
          <w:szCs w:val="19"/>
          <w:lang w:val="es-ES"/>
        </w:rPr>
      </w:pPr>
    </w:p>
    <w:p w14:paraId="68272E04" w14:textId="77777777" w:rsidR="005A060F" w:rsidRDefault="005A060F" w:rsidP="005A060F">
      <w:pPr>
        <w:widowControl w:val="0"/>
        <w:tabs>
          <w:tab w:val="left" w:pos="567"/>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Como culminación de múltiples gestiones de esta Dirección General, surgió la resolución Nº 69 de la Secretaría de Gobierno, firmada el 13 de abril de 2000 por el Dr. Guillermo Moreno </w:t>
      </w:r>
      <w:proofErr w:type="spellStart"/>
      <w:r>
        <w:rPr>
          <w:rFonts w:ascii="Trebuchet MS" w:hAnsi="Trebuchet MS" w:cs="Trebuchet MS"/>
          <w:kern w:val="1"/>
          <w:sz w:val="19"/>
          <w:szCs w:val="19"/>
          <w:lang w:val="es-ES"/>
        </w:rPr>
        <w:t>Hueyo</w:t>
      </w:r>
      <w:proofErr w:type="spellEnd"/>
      <w:r>
        <w:rPr>
          <w:rFonts w:ascii="Trebuchet MS" w:hAnsi="Trebuchet MS" w:cs="Trebuchet MS"/>
          <w:kern w:val="1"/>
          <w:sz w:val="19"/>
          <w:szCs w:val="19"/>
          <w:lang w:val="es-ES"/>
        </w:rPr>
        <w:t>.</w:t>
      </w:r>
    </w:p>
    <w:p w14:paraId="421D3BE0" w14:textId="77777777" w:rsidR="005A060F" w:rsidRDefault="005A060F" w:rsidP="005A060F">
      <w:pPr>
        <w:widowControl w:val="0"/>
        <w:tabs>
          <w:tab w:val="left" w:pos="567"/>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Dicha resolución fue dada a conocer durante el 2º Encuentro de Gestión Privada (14 de abril de 2000) y su articulado expresa:</w:t>
      </w:r>
    </w:p>
    <w:p w14:paraId="768ED3D8"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Declarar que corresponde eximir del trámite de habilitación escolar a los institutos educativos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Buenos Aires, que fueron incorporados o que obtuvieron autorización previa para funcionar, emanada de autoridad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371/64.</w:t>
      </w:r>
    </w:p>
    <w:p w14:paraId="6061ECA5"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Disposición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alcanza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Acta Complementaria Nº 3 del Convenio de Transferencia de Servicios del 19 de febrero de 1992, con sus ampliaciones y modificaciones edilicias, efectuadas por exigencia de su proyecto pedagógico, hasta el día de 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fecha.</w:t>
      </w:r>
    </w:p>
    <w:p w14:paraId="27C0546E"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Dejar establecido que, en los institutos transferidos individualizados en el Artículo 1º, se exigirá únicamente el Libro de Inspección que habilita la Dirección General de Educación de Gestión Privada dependiente de la Secretaría de Educación, de conformidad con la normativa vigente.</w:t>
      </w:r>
    </w:p>
    <w:p w14:paraId="1873B550" w14:textId="77777777" w:rsidR="005A060F" w:rsidRDefault="005A060F" w:rsidP="005A060F">
      <w:pPr>
        <w:widowControl w:val="0"/>
        <w:tabs>
          <w:tab w:val="left" w:pos="56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4º. Solicitar a la Secretaría de Educación que arbitre los medios necesarios para certificar el razonable estado de cada edificio escolar, comprendido en el Artículo 1º, en los siguientes aspectos:</w:t>
      </w:r>
    </w:p>
    <w:p w14:paraId="29FF7E21" w14:textId="77777777" w:rsidR="005A060F" w:rsidRDefault="005A060F" w:rsidP="005A060F">
      <w:pPr>
        <w:widowControl w:val="0"/>
        <w:numPr>
          <w:ilvl w:val="0"/>
          <w:numId w:val="12"/>
        </w:numPr>
        <w:tabs>
          <w:tab w:val="left" w:pos="567"/>
          <w:tab w:val="left" w:pos="960"/>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Protección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barandas</w:t>
      </w:r>
    </w:p>
    <w:p w14:paraId="49967714"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Escalera</w:t>
      </w:r>
    </w:p>
    <w:p w14:paraId="2C6311DC"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Medios 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salida</w:t>
      </w:r>
    </w:p>
    <w:p w14:paraId="6FB0E55C"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Existencia en regla de</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matafuegos</w:t>
      </w:r>
    </w:p>
    <w:p w14:paraId="705BDC5A"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Cantidad</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inodoros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mingitorios</w:t>
      </w:r>
    </w:p>
    <w:p w14:paraId="0F21521F"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Ventilación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Cocinas</w:t>
      </w:r>
    </w:p>
    <w:p w14:paraId="0C58389F"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Ventilación e iluminación en 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aulas</w:t>
      </w:r>
    </w:p>
    <w:p w14:paraId="2F80D892" w14:textId="77777777" w:rsidR="005A060F" w:rsidRDefault="005A060F" w:rsidP="005A060F">
      <w:pPr>
        <w:widowControl w:val="0"/>
        <w:numPr>
          <w:ilvl w:val="0"/>
          <w:numId w:val="12"/>
        </w:numPr>
        <w:tabs>
          <w:tab w:val="left" w:pos="567"/>
          <w:tab w:val="left" w:pos="96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Ventilación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cocinas</w:t>
      </w:r>
    </w:p>
    <w:p w14:paraId="7D012457" w14:textId="77777777" w:rsidR="005A060F" w:rsidRDefault="005A060F" w:rsidP="005A060F">
      <w:pPr>
        <w:widowControl w:val="0"/>
        <w:numPr>
          <w:ilvl w:val="0"/>
          <w:numId w:val="12"/>
        </w:numPr>
        <w:tabs>
          <w:tab w:val="left" w:pos="567"/>
          <w:tab w:val="left" w:pos="960"/>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Interruptor automático en cada uno de los circuitos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eléctricos</w:t>
      </w:r>
    </w:p>
    <w:p w14:paraId="2FDC0C80" w14:textId="77777777" w:rsidR="005A060F" w:rsidRDefault="005A060F" w:rsidP="005A060F">
      <w:pPr>
        <w:widowControl w:val="0"/>
        <w:numPr>
          <w:ilvl w:val="0"/>
          <w:numId w:val="12"/>
        </w:numPr>
        <w:tabs>
          <w:tab w:val="left" w:pos="567"/>
          <w:tab w:val="left" w:pos="960"/>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Plano de evacuación 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edificio</w:t>
      </w:r>
    </w:p>
    <w:p w14:paraId="27D85DBF" w14:textId="77777777" w:rsidR="005A060F" w:rsidRDefault="005A060F" w:rsidP="005A060F">
      <w:pPr>
        <w:widowControl w:val="0"/>
        <w:tabs>
          <w:tab w:val="left" w:pos="567"/>
        </w:tabs>
        <w:autoSpaceDE w:val="0"/>
        <w:autoSpaceDN w:val="0"/>
        <w:adjustRightInd w:val="0"/>
        <w:spacing w:before="1" w:after="0" w:line="240" w:lineRule="auto"/>
        <w:ind w:right="-1"/>
        <w:rPr>
          <w:rFonts w:ascii="Times New Roman" w:hAnsi="Times New Roman" w:cs="Times New Roman"/>
          <w:kern w:val="1"/>
          <w:sz w:val="18"/>
          <w:szCs w:val="18"/>
          <w:lang w:val="es-ES"/>
        </w:rPr>
      </w:pPr>
    </w:p>
    <w:p w14:paraId="32913AA9" w14:textId="77777777" w:rsidR="005A060F" w:rsidRDefault="005A060F" w:rsidP="005A060F">
      <w:pPr>
        <w:widowControl w:val="0"/>
        <w:tabs>
          <w:tab w:val="left" w:pos="567"/>
        </w:tabs>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5º.Regístrese, publíquese en el Boletín Oficial de la Ciudad de Buenos aires y para su conocimiento, notificación y demás efectos, pase a la Secretaría de Educación, etc.</w:t>
      </w:r>
    </w:p>
    <w:p w14:paraId="088429CF" w14:textId="77777777" w:rsidR="005A060F" w:rsidRDefault="005A060F" w:rsidP="005A060F">
      <w:pPr>
        <w:widowControl w:val="0"/>
        <w:tabs>
          <w:tab w:val="left" w:pos="567"/>
        </w:tabs>
        <w:autoSpaceDE w:val="0"/>
        <w:autoSpaceDN w:val="0"/>
        <w:adjustRightInd w:val="0"/>
        <w:spacing w:before="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4º de esta Resolución, y a la Dirección General de Verificaciones y Habilitaciones, a quien, asimismo, se le comunicará por nota lo resuelto en el presente acto administrativo. Cumplido, archívese.</w:t>
      </w:r>
    </w:p>
    <w:p w14:paraId="51449775" w14:textId="77777777" w:rsidR="005A060F" w:rsidRDefault="005A060F" w:rsidP="005A060F">
      <w:pPr>
        <w:widowControl w:val="0"/>
        <w:tabs>
          <w:tab w:val="left" w:pos="567"/>
        </w:tabs>
        <w:autoSpaceDE w:val="0"/>
        <w:autoSpaceDN w:val="0"/>
        <w:adjustRightInd w:val="0"/>
        <w:spacing w:before="9" w:after="0" w:line="240" w:lineRule="auto"/>
        <w:ind w:right="-1"/>
        <w:rPr>
          <w:rFonts w:ascii="Times New Roman" w:hAnsi="Times New Roman" w:cs="Times New Roman"/>
          <w:kern w:val="1"/>
          <w:sz w:val="18"/>
          <w:szCs w:val="18"/>
          <w:lang w:val="es-ES"/>
        </w:rPr>
      </w:pPr>
    </w:p>
    <w:p w14:paraId="4F733241" w14:textId="77777777" w:rsidR="005A060F" w:rsidRDefault="005A060F" w:rsidP="005A060F">
      <w:pPr>
        <w:widowControl w:val="0"/>
        <w:tabs>
          <w:tab w:val="left" w:pos="56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Con posterioridad surge la resolución Nº 115 de la Secretaría de Gobierno, firmada el 5 de junio de 2000 por el Dr. Moreno </w:t>
      </w:r>
      <w:proofErr w:type="spellStart"/>
      <w:r>
        <w:rPr>
          <w:rFonts w:ascii="Trebuchet MS" w:hAnsi="Trebuchet MS" w:cs="Trebuchet MS"/>
          <w:kern w:val="1"/>
          <w:sz w:val="19"/>
          <w:szCs w:val="19"/>
          <w:lang w:val="es-ES"/>
        </w:rPr>
        <w:t>Hueyo</w:t>
      </w:r>
      <w:proofErr w:type="spellEnd"/>
      <w:r>
        <w:rPr>
          <w:rFonts w:ascii="Trebuchet MS" w:hAnsi="Trebuchet MS" w:cs="Trebuchet MS"/>
          <w:kern w:val="1"/>
          <w:sz w:val="19"/>
          <w:szCs w:val="19"/>
          <w:lang w:val="es-ES"/>
        </w:rPr>
        <w:t>, que rectifica el artículo 2º de la RESOLUCION 69 - SG - 2000 y que expresa:</w:t>
      </w:r>
    </w:p>
    <w:p w14:paraId="115BBDC9" w14:textId="77777777" w:rsidR="005A060F" w:rsidRDefault="005A060F" w:rsidP="005A060F">
      <w:pPr>
        <w:widowControl w:val="0"/>
        <w:tabs>
          <w:tab w:val="left" w:pos="567"/>
        </w:tabs>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Rectificar el artículo 2º. De la Resolución 069 -SG- 2000, el que quedará redactado de la siguiente forma:</w:t>
      </w:r>
    </w:p>
    <w:p w14:paraId="078C7727"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 la disposición anterior alcanza a los establecimientos mencionados en ANEXO I - enunciación limitada a los que están bajo la supervisión de la Superintendencia Nacional de Servicios Educativos Nacionales a la Municipalidad de la Ciudad de Buenos Aires, del 19 de febrero de 1992; el ANEXO I a, del Acta complementaria Nº 4. Del 30 de </w:t>
      </w:r>
      <w:r>
        <w:rPr>
          <w:rFonts w:ascii="Trebuchet MS" w:hAnsi="Trebuchet MS" w:cs="Trebuchet MS"/>
          <w:kern w:val="1"/>
          <w:sz w:val="19"/>
          <w:szCs w:val="19"/>
          <w:lang w:val="es-ES"/>
        </w:rPr>
        <w:lastRenderedPageBreak/>
        <w:t>noviembre de 1993; el ANEXO I del Acta Complementaria Nº 14 del 9 de mayo de 1996; y la cláusula PRIMERA del Acta Complementaria Nº 17 del 29 de octubre de 1999; con sus ampliaciones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edilicias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efectuadas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exigencias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fecha."</w:t>
      </w:r>
    </w:p>
    <w:p w14:paraId="32C3D050"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Regístrese, publíquese en el Boletín Oficial de Buenos Aires y para su conocimiento, notificación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 y a la Dirección General de Verificaciones y Habilitaciones, a quien, asimismo, se le comunicará por Nota lo resuelto en el presente acto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administrativo.</w:t>
      </w:r>
    </w:p>
    <w:p w14:paraId="1D1B48EF" w14:textId="77777777" w:rsidR="005A060F" w:rsidRDefault="005A060F" w:rsidP="005A060F">
      <w:pPr>
        <w:widowControl w:val="0"/>
        <w:tabs>
          <w:tab w:val="left" w:pos="567"/>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Cumplido, archívese.</w:t>
      </w:r>
    </w:p>
    <w:p w14:paraId="3AC9B152"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la firma de estas Resoluciones se regularizó la situación edilicia de unos mil servicios educativos privados en la Ciudad de Buenos Aires.</w:t>
      </w:r>
    </w:p>
    <w:p w14:paraId="66A46EFA"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Posteriormente a la transferencia, con la incorporación de nuevos Institutos, la superposición de las normativas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jurisdiccionales,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proofErr w:type="spellStart"/>
      <w:r>
        <w:rPr>
          <w:rFonts w:ascii="Trebuchet MS" w:hAnsi="Trebuchet MS" w:cs="Trebuchet MS"/>
          <w:kern w:val="1"/>
          <w:sz w:val="19"/>
          <w:szCs w:val="19"/>
          <w:lang w:val="es-ES"/>
        </w:rPr>
        <w:t>efectivización</w:t>
      </w:r>
      <w:proofErr w:type="spellEnd"/>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sector Arquitectura Escolar, se detectaron situaciones de inicio sin culminación del trámite de habilitación que se tradujeron en dificultades importantes en las vidas institucionales durante el 2000 y lo que va del corriente año.</w:t>
      </w:r>
    </w:p>
    <w:p w14:paraId="0729BEB1" w14:textId="77777777" w:rsidR="005A060F" w:rsidRDefault="005A060F" w:rsidP="005A060F">
      <w:pPr>
        <w:widowControl w:val="0"/>
        <w:tabs>
          <w:tab w:val="left" w:pos="567"/>
        </w:tabs>
        <w:autoSpaceDE w:val="0"/>
        <w:autoSpaceDN w:val="0"/>
        <w:adjustRightInd w:val="0"/>
        <w:spacing w:after="0" w:line="240" w:lineRule="auto"/>
        <w:ind w:right="-1"/>
        <w:rPr>
          <w:rFonts w:ascii="Times New Roman" w:hAnsi="Times New Roman" w:cs="Times New Roman"/>
          <w:kern w:val="1"/>
          <w:sz w:val="19"/>
          <w:szCs w:val="19"/>
          <w:lang w:val="es-ES"/>
        </w:rPr>
      </w:pPr>
    </w:p>
    <w:p w14:paraId="67855248"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vista de ello, teniendo a la seguridad Institucional, de alumnos y docentes como única meta, en momentos que exigen total transparencia y profesionalismo a la hora de asumir las responsabilidades inherentes al cargo y/o función que cada uno de los actores del sector educativo desempeñamos, esta Dirección General está arbitrando las medidas necesarias para ordenar dicho aspecto de la vida escolar.</w:t>
      </w:r>
    </w:p>
    <w:p w14:paraId="00B28707" w14:textId="77777777" w:rsidR="005A060F" w:rsidRDefault="005A060F" w:rsidP="005A060F">
      <w:pPr>
        <w:widowControl w:val="0"/>
        <w:tabs>
          <w:tab w:val="left" w:pos="567"/>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ciertos casos las medidas en cuestión implican la derivación del expediente en consulta a la Dirección General de Verificación y Habilitaciones dependiente de la Secretaría de Gobierno de la Ciudad.</w:t>
      </w:r>
    </w:p>
    <w:p w14:paraId="09415493" w14:textId="2768FE4F" w:rsidR="005A060F" w:rsidRDefault="005A060F" w:rsidP="005A060F">
      <w:pPr>
        <w:widowControl w:val="0"/>
        <w:tabs>
          <w:tab w:val="left" w:pos="567"/>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organismo es el UNICO con facultades para conceder la habilitación de los locales Escolares. Debemos agregar que la presentación de planos para su aprobación debe realizarse ante la Dirección</w:t>
      </w:r>
      <w:r>
        <w:rPr>
          <w:rFonts w:ascii="Trebuchet MS" w:hAnsi="Trebuchet MS" w:cs="Trebuchet MS"/>
          <w:kern w:val="1"/>
          <w:sz w:val="19"/>
          <w:szCs w:val="19"/>
          <w:lang w:val="es-ES"/>
        </w:rPr>
        <w:t xml:space="preserve"> </w:t>
      </w:r>
      <w:bookmarkStart w:id="0" w:name="_GoBack"/>
      <w:bookmarkEnd w:id="0"/>
      <w:r>
        <w:rPr>
          <w:rFonts w:ascii="Trebuchet MS" w:hAnsi="Trebuchet MS" w:cs="Trebuchet MS"/>
          <w:kern w:val="1"/>
          <w:sz w:val="19"/>
          <w:szCs w:val="19"/>
          <w:lang w:val="es-ES"/>
        </w:rPr>
        <w:t>General de Fiscalización de Obras y Catastro, dependiente de la Secretaría de Pla</w:t>
      </w:r>
      <w:r>
        <w:rPr>
          <w:rFonts w:ascii="Trebuchet MS" w:hAnsi="Trebuchet MS" w:cs="Trebuchet MS"/>
          <w:kern w:val="1"/>
          <w:sz w:val="19"/>
          <w:szCs w:val="19"/>
          <w:lang w:val="es-ES"/>
        </w:rPr>
        <w:t xml:space="preserve">neamiento Urbano (C. Pellegrini </w:t>
      </w:r>
      <w:r>
        <w:rPr>
          <w:rFonts w:ascii="Trebuchet MS" w:hAnsi="Trebuchet MS" w:cs="Trebuchet MS"/>
          <w:kern w:val="1"/>
          <w:sz w:val="19"/>
          <w:szCs w:val="19"/>
          <w:lang w:val="es-ES"/>
        </w:rPr>
        <w:t xml:space="preserve">291 2º piso) </w:t>
      </w:r>
      <w:r>
        <w:rPr>
          <w:rFonts w:ascii="Trebuchet MS" w:hAnsi="Trebuchet MS" w:cs="Trebuchet MS"/>
          <w:b/>
          <w:bCs/>
          <w:kern w:val="1"/>
          <w:sz w:val="19"/>
          <w:szCs w:val="19"/>
          <w:lang w:val="es-ES"/>
        </w:rPr>
        <w:t xml:space="preserve">no siendo </w:t>
      </w:r>
      <w:r>
        <w:rPr>
          <w:rFonts w:ascii="Trebuchet MS" w:hAnsi="Trebuchet MS" w:cs="Trebuchet MS"/>
          <w:kern w:val="1"/>
          <w:sz w:val="19"/>
          <w:szCs w:val="19"/>
          <w:lang w:val="es-ES"/>
        </w:rPr>
        <w:t>nuestra dependencia competente para los fines anteriormente mencionados.</w:t>
      </w:r>
    </w:p>
    <w:p w14:paraId="2A5648C5"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bien las Direcciones Generales se encuentran en la misma jerarquía administrativa, cada una de ellas dispone en forma exclusiva en la esfera de su propia competencia, pudiendo ser sus disposiciones recurribles sólo ante las respectivas vía jerárquicas.</w:t>
      </w:r>
    </w:p>
    <w:p w14:paraId="4B327E57"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Nuestra repartición debe verificar la existencia de documentación que acredite la culminación de la habilitación del local escolar. Trámite en el que intervienen los sectores de Incorporaciones y Registro Documental, Arquitectura Escolar, Técnicas Normativas, Supervisión Pedagógica, en los niveles correspondientes, y la Dirección General.</w:t>
      </w:r>
    </w:p>
    <w:p w14:paraId="6B25A219" w14:textId="77777777" w:rsidR="005A060F" w:rsidRDefault="005A060F" w:rsidP="005A060F">
      <w:pPr>
        <w:widowControl w:val="0"/>
        <w:tabs>
          <w:tab w:val="left" w:pos="56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Como se deduce de lo expuesto, con la resolución 69 de la S.G. se ha regularizado la situación de los institutos que fueron transferidos desde el ámbito de la Nación (el 80 % del total de Gestión Privada), estamos trabajando con aquellos que iniciaron su incorporación a la enseñanza oficial en la órbita de la Ciudad de Buenos Aires de tal forma que podamos tener ordenado, en lo que se refiere a la habilitación del local escolar, a todas las instituciones educativas que brindan su servicio en nuestra Ciudad.</w:t>
      </w:r>
    </w:p>
    <w:p w14:paraId="1DC898C3" w14:textId="77777777" w:rsidR="005A060F" w:rsidRDefault="005A060F" w:rsidP="005A060F">
      <w:pPr>
        <w:widowControl w:val="0"/>
        <w:tabs>
          <w:tab w:val="left" w:pos="567"/>
        </w:tabs>
        <w:autoSpaceDE w:val="0"/>
        <w:autoSpaceDN w:val="0"/>
        <w:adjustRightInd w:val="0"/>
        <w:spacing w:before="7" w:after="0" w:line="240" w:lineRule="auto"/>
        <w:ind w:right="-1"/>
        <w:rPr>
          <w:rFonts w:ascii="Times New Roman" w:hAnsi="Times New Roman" w:cs="Times New Roman"/>
          <w:kern w:val="1"/>
          <w:sz w:val="17"/>
          <w:szCs w:val="17"/>
          <w:lang w:val="es-ES"/>
        </w:rPr>
      </w:pPr>
    </w:p>
    <w:p w14:paraId="33993819" w14:textId="77777777" w:rsidR="005A060F" w:rsidRDefault="005A060F" w:rsidP="005A060F">
      <w:pPr>
        <w:widowControl w:val="0"/>
        <w:tabs>
          <w:tab w:val="left" w:pos="567"/>
        </w:tabs>
        <w:autoSpaceDE w:val="0"/>
        <w:autoSpaceDN w:val="0"/>
        <w:adjustRightInd w:val="0"/>
        <w:spacing w:before="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Atentamente.</w:t>
      </w:r>
    </w:p>
    <w:p w14:paraId="1809E6F5" w14:textId="77777777" w:rsidR="005A060F" w:rsidRDefault="005A060F" w:rsidP="005A060F">
      <w:pPr>
        <w:widowControl w:val="0"/>
        <w:tabs>
          <w:tab w:val="left" w:pos="567"/>
        </w:tabs>
        <w:autoSpaceDE w:val="0"/>
        <w:autoSpaceDN w:val="0"/>
        <w:adjustRightInd w:val="0"/>
        <w:spacing w:after="0" w:line="240" w:lineRule="auto"/>
        <w:ind w:right="-1"/>
        <w:rPr>
          <w:rFonts w:ascii="Times New Roman" w:hAnsi="Times New Roman" w:cs="Times New Roman"/>
          <w:kern w:val="1"/>
          <w:lang w:val="es-ES"/>
        </w:rPr>
      </w:pPr>
    </w:p>
    <w:p w14:paraId="4EEE109B" w14:textId="77777777" w:rsidR="005A060F" w:rsidRDefault="005A060F" w:rsidP="005A060F">
      <w:pPr>
        <w:widowControl w:val="0"/>
        <w:tabs>
          <w:tab w:val="left" w:pos="567"/>
        </w:tabs>
        <w:autoSpaceDE w:val="0"/>
        <w:autoSpaceDN w:val="0"/>
        <w:adjustRightInd w:val="0"/>
        <w:spacing w:before="133" w:after="0" w:line="230" w:lineRule="atLeast"/>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MARCELO</w:t>
      </w:r>
      <w:r>
        <w:rPr>
          <w:rFonts w:ascii="Trebuchet MS" w:hAnsi="Trebuchet MS" w:cs="Trebuchet MS"/>
          <w:spacing w:val="3"/>
          <w:kern w:val="1"/>
          <w:sz w:val="15"/>
          <w:szCs w:val="15"/>
          <w:lang w:val="es-ES"/>
        </w:rPr>
        <w:t xml:space="preserve"> </w:t>
      </w:r>
      <w:r>
        <w:rPr>
          <w:rFonts w:ascii="Trebuchet MS" w:hAnsi="Trebuchet MS" w:cs="Trebuchet MS"/>
          <w:kern w:val="1"/>
          <w:sz w:val="15"/>
          <w:szCs w:val="15"/>
          <w:lang w:val="es-ES"/>
        </w:rPr>
        <w:t>N.</w:t>
      </w:r>
      <w:r>
        <w:rPr>
          <w:rFonts w:ascii="Trebuchet MS" w:hAnsi="Trebuchet MS" w:cs="Trebuchet MS"/>
          <w:spacing w:val="4"/>
          <w:kern w:val="1"/>
          <w:sz w:val="15"/>
          <w:szCs w:val="15"/>
          <w:lang w:val="es-ES"/>
        </w:rPr>
        <w:t xml:space="preserve"> </w:t>
      </w:r>
      <w:r>
        <w:rPr>
          <w:rFonts w:ascii="Trebuchet MS" w:hAnsi="Trebuchet MS" w:cs="Trebuchet MS"/>
          <w:spacing w:val="-3"/>
          <w:kern w:val="1"/>
          <w:sz w:val="15"/>
          <w:szCs w:val="15"/>
          <w:lang w:val="es-ES"/>
        </w:rPr>
        <w:t>PIVATO</w:t>
      </w:r>
      <w:r>
        <w:rPr>
          <w:rFonts w:ascii="Trebuchet MS" w:hAnsi="Trebuchet MS" w:cs="Trebuchet MS"/>
          <w:kern w:val="1"/>
          <w:sz w:val="15"/>
          <w:szCs w:val="15"/>
          <w:lang w:val="es-ES"/>
        </w:rPr>
        <w:t xml:space="preserve"> DIRECTOR GENERAL</w:t>
      </w:r>
    </w:p>
    <w:p w14:paraId="1DFFEEB7" w14:textId="77777777" w:rsidR="005A060F" w:rsidRDefault="005A060F" w:rsidP="005A060F">
      <w:pPr>
        <w:widowControl w:val="0"/>
        <w:tabs>
          <w:tab w:val="left" w:pos="567"/>
        </w:tabs>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DIRECCION GENERAL DE</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EDUCACION</w:t>
      </w:r>
    </w:p>
    <w:p w14:paraId="7E75A53D" w14:textId="77777777" w:rsidR="005A060F" w:rsidRDefault="005A060F" w:rsidP="005A060F">
      <w:pPr>
        <w:widowControl w:val="0"/>
        <w:tabs>
          <w:tab w:val="left" w:pos="567"/>
        </w:tabs>
        <w:autoSpaceDE w:val="0"/>
        <w:autoSpaceDN w:val="0"/>
        <w:adjustRightInd w:val="0"/>
        <w:spacing w:before="1" w:after="0" w:line="240" w:lineRule="auto"/>
        <w:ind w:right="-1"/>
        <w:jc w:val="right"/>
        <w:rPr>
          <w:rFonts w:ascii="Times New Roman" w:hAnsi="Times New Roman" w:cs="Times New Roman"/>
          <w:kern w:val="1"/>
          <w:sz w:val="15"/>
          <w:szCs w:val="15"/>
          <w:lang w:val="es-ES"/>
        </w:rPr>
      </w:pPr>
      <w:r>
        <w:rPr>
          <w:rFonts w:ascii="Trebuchet MS" w:hAnsi="Trebuchet MS" w:cs="Trebuchet MS"/>
          <w:kern w:val="1"/>
          <w:sz w:val="15"/>
          <w:szCs w:val="15"/>
          <w:lang w:val="es-ES"/>
        </w:rPr>
        <w:t>DE GESTION</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PRIVADA SECRETARIA DE</w:t>
      </w:r>
      <w:r>
        <w:rPr>
          <w:rFonts w:ascii="Trebuchet MS" w:hAnsi="Trebuchet MS" w:cs="Trebuchet MS"/>
          <w:spacing w:val="15"/>
          <w:kern w:val="1"/>
          <w:sz w:val="15"/>
          <w:szCs w:val="15"/>
          <w:lang w:val="es-ES"/>
        </w:rPr>
        <w:t xml:space="preserve"> </w:t>
      </w:r>
      <w:r>
        <w:rPr>
          <w:rFonts w:ascii="Trebuchet MS" w:hAnsi="Trebuchet MS" w:cs="Trebuchet MS"/>
          <w:spacing w:val="-3"/>
          <w:kern w:val="1"/>
          <w:sz w:val="15"/>
          <w:szCs w:val="15"/>
          <w:lang w:val="es-ES"/>
        </w:rPr>
        <w:t>EDUCACION</w:t>
      </w:r>
    </w:p>
    <w:p w14:paraId="02510F4C" w14:textId="77777777" w:rsidR="005A060F" w:rsidRDefault="005A060F" w:rsidP="005A060F">
      <w:pPr>
        <w:widowControl w:val="0"/>
        <w:tabs>
          <w:tab w:val="left" w:pos="567"/>
        </w:tabs>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GOBIERNO DE LA CIUDAD DE BUENOS</w:t>
      </w:r>
      <w:r>
        <w:rPr>
          <w:rFonts w:ascii="Trebuchet MS" w:hAnsi="Trebuchet MS" w:cs="Trebuchet MS"/>
          <w:spacing w:val="-1"/>
          <w:kern w:val="1"/>
          <w:sz w:val="15"/>
          <w:szCs w:val="15"/>
          <w:lang w:val="es-ES"/>
        </w:rPr>
        <w:t xml:space="preserve"> </w:t>
      </w:r>
      <w:r>
        <w:rPr>
          <w:rFonts w:ascii="Trebuchet MS" w:hAnsi="Trebuchet MS" w:cs="Trebuchet MS"/>
          <w:kern w:val="1"/>
          <w:sz w:val="15"/>
          <w:szCs w:val="15"/>
          <w:lang w:val="es-ES"/>
        </w:rPr>
        <w:t>AIRES</w:t>
      </w:r>
    </w:p>
    <w:p w14:paraId="4D4C2C85" w14:textId="77777777" w:rsidR="00592F1B" w:rsidRPr="00AC3BA6" w:rsidRDefault="00592F1B" w:rsidP="005A060F">
      <w:pPr>
        <w:tabs>
          <w:tab w:val="left" w:pos="567"/>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5A060F"/>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5991</Characters>
  <Application>Microsoft Macintosh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2021-06-04T19:01:00Z</dcterms:created>
  <dcterms:modified xsi:type="dcterms:W3CDTF">2021-06-04T19:01:00Z</dcterms:modified>
</cp:coreProperties>
</file>