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8F604" w14:textId="77777777" w:rsidR="008E5FEF" w:rsidRDefault="008E5FEF" w:rsidP="008E5FE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26C2F2B6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FE6023E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44E9F17" w14:textId="4BB5E832" w:rsidR="008E5FEF" w:rsidRDefault="008E5FEF" w:rsidP="008E5FEF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COMPETENCIA DE LA MUNICIPALIDAD DE LA CIUDAD DE BUENOS AIRES</w:t>
      </w:r>
    </w:p>
    <w:p w14:paraId="55F0BAFF" w14:textId="373A1EA1" w:rsidR="008E5FEF" w:rsidRDefault="008E5FEF" w:rsidP="008E5FEF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EN LA HABILITACIÓN DE LOCALES ESCOLARES.</w:t>
      </w:r>
    </w:p>
    <w:bookmarkEnd w:id="0"/>
    <w:p w14:paraId="0AAD9081" w14:textId="77777777" w:rsidR="008E5FEF" w:rsidRDefault="008E5FEF" w:rsidP="008E5FEF">
      <w:pPr>
        <w:widowControl w:val="0"/>
        <w:autoSpaceDE w:val="0"/>
        <w:autoSpaceDN w:val="0"/>
        <w:adjustRightInd w:val="0"/>
        <w:spacing w:before="186" w:after="0" w:line="237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Por expresa indicación del Señor Subsecretario de Educación transcríbase a continuación el dictamen de la Procuración del Tesoro obrante a fs. 36/42 del Expediente Nº 57.395 / 79.</w:t>
      </w:r>
    </w:p>
    <w:p w14:paraId="3F8D5BB6" w14:textId="77777777" w:rsidR="008E5FEF" w:rsidRDefault="008E5FEF" w:rsidP="008E5FE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2D042D76" w14:textId="77777777" w:rsidR="008E5FEF" w:rsidRDefault="008E5FEF" w:rsidP="008E5FEF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1º de febrero de 1983</w:t>
      </w:r>
    </w:p>
    <w:p w14:paraId="1450C144" w14:textId="77777777" w:rsidR="008E5FEF" w:rsidRDefault="008E5FEF" w:rsidP="008E5FE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913066C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Señor Subsecretario de Educación:</w:t>
      </w:r>
    </w:p>
    <w:p w14:paraId="69EA4A54" w14:textId="77777777" w:rsidR="008E5FEF" w:rsidRDefault="008E5FEF" w:rsidP="008E5FE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5C326456" w14:textId="77777777" w:rsidR="008E5FEF" w:rsidRDefault="008E5FEF" w:rsidP="008E5FEF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I.- Vienen las presentes actuaciones a dictamen de este Organismo asesor, con motivo del conflicto aparente suscitado entre la Municipalidad de la Ciudad de Buenos Aires y ese Ministerio respecto del controlador de establecimientos educativos privados incorporados a la enseñanza oficial.</w:t>
      </w:r>
    </w:p>
    <w:p w14:paraId="14401FB2" w14:textId="77777777" w:rsidR="008E5FEF" w:rsidRDefault="008E5FEF" w:rsidP="008E5FE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B0CAB14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II.- Los antecedentes que origina la consulta son los siguientes:</w:t>
      </w:r>
    </w:p>
    <w:p w14:paraId="300C200B" w14:textId="77777777" w:rsidR="008E5FEF" w:rsidRDefault="008E5FEF" w:rsidP="008E5FE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C36108C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Expediente Nº 52.166/79.</w:t>
      </w:r>
    </w:p>
    <w:p w14:paraId="40622834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sz w:val="19"/>
          <w:szCs w:val="19"/>
          <w:lang w:val="es-ES"/>
        </w:rPr>
      </w:pPr>
    </w:p>
    <w:p w14:paraId="10AD216B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CE7C722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 w:rsidRPr="008E5FEF">
        <w:rPr>
          <w:rFonts w:ascii="Trebuchet MS" w:hAnsi="Trebuchet MS" w:cs="Trebuchet MS"/>
          <w:b/>
          <w:sz w:val="19"/>
          <w:szCs w:val="19"/>
          <w:lang w:val="es-ES"/>
        </w:rPr>
        <w:t>1</w:t>
      </w:r>
      <w:r>
        <w:rPr>
          <w:rFonts w:ascii="Trebuchet MS" w:hAnsi="Trebuchet MS" w:cs="Trebuchet MS"/>
          <w:sz w:val="19"/>
          <w:szCs w:val="19"/>
          <w:lang w:val="es-ES"/>
        </w:rPr>
        <w:t>.- A fs. 2 el Instituto N.N. con domicilio en la calle N.N. de esta Capital, establecimiento de enseñanza pre-primaria, primaria y secundaria incorporado a la enseñanza oficial, solicitó instrucciones a la Superintendencia Nacional de la Enseñanza Privada con motivo de la inspección efectuada en sus dependencias por la Municipalidad de la Ciudad de Buenos Aires, a resultas de la cual se libraron actas de comprobación por no llevar dicha institución el libro de Inspecciones Municipales y por matafuegos vencidos, en cuyo mérito el Tribunal de Faltas aplicó posteriormente la multa respectiva.</w:t>
      </w:r>
    </w:p>
    <w:p w14:paraId="42CF4535" w14:textId="77777777" w:rsidR="008E5FEF" w:rsidRDefault="008E5FEF" w:rsidP="008E5FE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49EE4A3" w14:textId="77777777" w:rsidR="008E5FEF" w:rsidRDefault="008E5FEF" w:rsidP="008E5FE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 w:rsidRPr="008E5FEF">
        <w:rPr>
          <w:rFonts w:ascii="Trebuchet MS" w:hAnsi="Trebuchet MS" w:cs="Trebuchet MS"/>
          <w:b/>
          <w:sz w:val="19"/>
          <w:szCs w:val="19"/>
          <w:lang w:val="es-ES"/>
        </w:rPr>
        <w:t>2</w:t>
      </w:r>
      <w:r>
        <w:rPr>
          <w:rFonts w:ascii="Trebuchet MS" w:hAnsi="Trebuchet MS" w:cs="Trebuchet MS"/>
          <w:sz w:val="19"/>
          <w:szCs w:val="19"/>
          <w:lang w:val="es-ES"/>
        </w:rPr>
        <w:t>.- Elevado a la Superioridad el informe precedentemente referido (fs.1), de conformidad con el dictamen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producido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Asuntos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Jurídicos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Secretaría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Estado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 (fs.4/5), se giran las actuaciones a la Municipalidad de la Ciudad de Buenos Aires, requiriéndose información respecto de las normas legales que fundamentan la medida dispuesta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(fs.6).</w:t>
      </w:r>
    </w:p>
    <w:p w14:paraId="7EB607A5" w14:textId="77777777" w:rsidR="008E5FEF" w:rsidRDefault="008E5FEF" w:rsidP="008E5FE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8503B41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 w:rsidRPr="008E5FEF">
        <w:rPr>
          <w:rFonts w:ascii="Trebuchet MS" w:hAnsi="Trebuchet MS" w:cs="Trebuchet MS"/>
          <w:b/>
          <w:kern w:val="1"/>
          <w:sz w:val="19"/>
          <w:szCs w:val="19"/>
          <w:lang w:val="es-ES"/>
        </w:rPr>
        <w:t>3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.- Solicitada su opinión, la Dirección “A” de Asuntos Jurídicos del Municipio local señala que, sin perjuicio de la intervención que en el particular corresponde al Ministerio de Cultura y Educación a los fines específicamente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competencia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Municipalidad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fundamenta en atribuciones que expresamente le fueran conferidas en materia de planeamiento urbano, edificación, uso del suelo y de los edificios, seguridad, salubridad y moralidad publica dentro del ámbito metropolitano reseña en tal sentido, disposiciones contenidas en el Código de Planeamiento Urbano y el Código de Habilitaciones y Verificaciones y destaca, por otra parte, la contradicción existente entre ambos ordenamientos y la consecuente dificultad para su debida interpretación, proponiendo, en su mérito, la modificación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articulado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Código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Verificaciones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(fs.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10/13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vta.)</w:t>
      </w:r>
    </w:p>
    <w:p w14:paraId="28FDFF43" w14:textId="77777777" w:rsidR="008E5FEF" w:rsidRDefault="008E5FEF" w:rsidP="008E5FE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366E3B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Expte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Nº 57.395/79</w:t>
      </w:r>
    </w:p>
    <w:p w14:paraId="4A2F8C73" w14:textId="77777777" w:rsidR="008E5FEF" w:rsidRDefault="008E5FEF" w:rsidP="008E5FE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2BE867" w14:textId="77777777" w:rsidR="008E5FEF" w:rsidRDefault="008E5FEF" w:rsidP="008E5FEF">
      <w:pPr>
        <w:widowControl w:val="0"/>
        <w:tabs>
          <w:tab w:val="left" w:pos="1032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A fs. 2 el Instituto N.N. de la calle N.N. de esta Capital, sección primaria, incorporado a la enseñanza oficial, informa a la Superintendencia Nacional de la Enseñanza Privada haber recibido una inspección de la Municipalidad de la Ciudad de Buenos Aires y adjunta fotocopia del acta de comprobación labrada en dicha oportunidad por no contar el establecimiento con habilitación municipal ni el libro de inspecciones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</w:t>
      </w:r>
    </w:p>
    <w:p w14:paraId="387F7BFA" w14:textId="77777777" w:rsidR="008E5FEF" w:rsidRDefault="008E5FEF" w:rsidP="008E5FE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C40761" w14:textId="77777777" w:rsidR="008E5FEF" w:rsidRDefault="008E5FEF" w:rsidP="008E5FEF">
      <w:pPr>
        <w:widowControl w:val="0"/>
        <w:tabs>
          <w:tab w:val="left" w:pos="101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Elevadas las actuaciones a la entones Secretaría de Estado de Educación para su agregación al expediente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52.166/79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precedentemente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referido,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similitud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planteadas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ambos expedientes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(fs.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9),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giran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posteriormente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(fs.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10),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donde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acumulan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(fs.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15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vta.)</w:t>
      </w:r>
    </w:p>
    <w:p w14:paraId="42E3A84E" w14:textId="725E34C8" w:rsidR="008E5FEF" w:rsidRPr="008E5FEF" w:rsidRDefault="008E5FEF" w:rsidP="008E5FEF">
      <w:pPr>
        <w:widowControl w:val="0"/>
        <w:tabs>
          <w:tab w:val="left" w:pos="1015"/>
        </w:tabs>
        <w:autoSpaceDE w:val="0"/>
        <w:autoSpaceDN w:val="0"/>
        <w:adjustRightInd w:val="0"/>
        <w:spacing w:before="90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A fs. 27 la Dirección de Coordinación de la Municipalidad de la Ciudad de Buenos Aires informa 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dificultad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interpretación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expuesta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dictamen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emitido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Fs.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10/13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52.166/79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 quedado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superada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virtud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dispuesto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Ordenanza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36.822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(Boletín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16.565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17-7- 81), que expresamente dispone que, entre otros, todos los locales destinados a establecimientos de educación quedarán sujetos al régimen de habilitación</w:t>
      </w:r>
      <w:r>
        <w:rPr>
          <w:rFonts w:ascii="Trebuchet MS" w:hAnsi="Trebuchet MS" w:cs="Trebuchet MS"/>
          <w:spacing w:val="-1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municipal.</w:t>
      </w:r>
    </w:p>
    <w:p w14:paraId="32BC86C9" w14:textId="77777777" w:rsidR="008E5FEF" w:rsidRDefault="008E5FEF" w:rsidP="008E5FEF">
      <w:pPr>
        <w:widowControl w:val="0"/>
        <w:tabs>
          <w:tab w:val="left" w:pos="1008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lastRenderedPageBreak/>
        <w:t>4.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Devueltas las actuaciones a ese Ministerio (fs. 29), se requiere dictamen de la Dirección General de Asuntos Jurídicos (fs. 30). A fs. 31/33 señala dicho servicio jurídico que con las normas contenidas en la ley 13.047, que regulan las relaciones de los establecimientos educativos privados con el Estado y con su propio personal, y en el decreto Nº 371/64 que estableció el régimen de incorporación de dichos institutos a la enseñanza oficial, se ha pretendido reglar acabadamente en la materia y, en consecuencia, resulta conflictiva la competencia que en el ¨sub examine ¨ se atribuye la Municipalidad de Buenos Aires, en tanto implica el sometimiento de dichos establecimientos a una doble fiscalización, destacando, en tal sentido la existencia en el ámbito de ese Ministerio de organismos técnicos tales como la ex Dirección Nacional de Arquitectura Educacional y la Administración de Sanidad Escolar que desempeñan funciones de esa índole. 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razones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expuestas,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aconseja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requerir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opinión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Procuración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Tesoro,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cuyo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giran las actuaciones a fs.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34.</w:t>
      </w:r>
    </w:p>
    <w:p w14:paraId="058BADAE" w14:textId="77777777" w:rsidR="008E5FEF" w:rsidRDefault="008E5FEF" w:rsidP="008E5FE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A92ABD3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III. - 1.-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Liminarmente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cabe recordar que:</w:t>
      </w:r>
    </w:p>
    <w:p w14:paraId="47D69FA9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31BC5A2" w14:textId="3D3F0885" w:rsidR="008E5FEF" w:rsidRDefault="008E5FEF" w:rsidP="008E5FEF">
      <w:pPr>
        <w:widowControl w:val="0"/>
        <w:tabs>
          <w:tab w:val="left" w:pos="1057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spacing w:val="16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a)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 lo determina la ley 22.520 (B.O. 23-12-81) (Art. 23) ¨ Compete al Ministerio de Educación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asistir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Presidente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Nación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todo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inherente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particular:</w:t>
      </w:r>
      <w:r>
        <w:rPr>
          <w:rFonts w:ascii="Trebuchet MS" w:hAnsi="Trebuchet MS" w:cs="Trebuchet MS"/>
          <w:spacing w:val="16"/>
          <w:kern w:val="1"/>
          <w:sz w:val="19"/>
          <w:szCs w:val="19"/>
          <w:lang w:val="es-ES"/>
        </w:rPr>
        <w:t xml:space="preserve"> </w:t>
      </w:r>
    </w:p>
    <w:p w14:paraId="6EB561C8" w14:textId="3636AEBC" w:rsidR="008E5FEF" w:rsidRDefault="008E5FEF" w:rsidP="008E5FEF">
      <w:pPr>
        <w:widowControl w:val="0"/>
        <w:tabs>
          <w:tab w:val="left" w:pos="1057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5.-Entender en las relaciones con los institutos del sector privado y establecer las normas de supervisión y el reconocimiento de su enseñanza cuando corresponda. ¨</w:t>
      </w:r>
    </w:p>
    <w:p w14:paraId="3F753975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F2A0477" w14:textId="51F5B3CD" w:rsidR="008E5FEF" w:rsidRDefault="008E5FEF" w:rsidP="008E5FEF">
      <w:pPr>
        <w:widowControl w:val="0"/>
        <w:tabs>
          <w:tab w:val="left" w:pos="1015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 lo establece la ley orgánica de la Municipalidad de la Ciudad de Buenos Aires Nº 19.987 (art.2º)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(B.O.6-12-72):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¨</w:t>
      </w:r>
      <w:r>
        <w:rPr>
          <w:rFonts w:ascii="Trebuchet MS" w:hAnsi="Trebuchet MS" w:cs="Trebuchet MS"/>
          <w:spacing w:val="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Son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competencia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Municipalidad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asuntos</w:t>
      </w:r>
      <w:r>
        <w:rPr>
          <w:rFonts w:ascii="Trebuchet MS" w:hAnsi="Trebuchet MS" w:cs="Trebuchet MS"/>
          <w:spacing w:val="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refieran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cultura,</w:t>
      </w:r>
    </w:p>
    <w:p w14:paraId="59F9FD3B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 y recreación, fomento de las artes, la promoción y asistencia social, moralidad y buenas costumbres en orden a su conservación y acrecentamiento;... 1) el ejercicio del poder de policía en las materias de su competencia. ¨</w:t>
      </w:r>
    </w:p>
    <w:p w14:paraId="66749C85" w14:textId="77777777" w:rsidR="008E5FEF" w:rsidRDefault="008E5FEF" w:rsidP="008E5FE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8ACCF0D" w14:textId="77777777" w:rsidR="008E5FEF" w:rsidRDefault="008E5FEF" w:rsidP="008E5FEF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a) Por ley 13.047 (B.O. 22-10- 47) se dictó el Estatuto para el personal docente de los establecimientos de enseñanza privada, fijándose de este modo la normativa a la que deberían ajustarse las relaciones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Estado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1º).</w:t>
      </w:r>
    </w:p>
    <w:p w14:paraId="419E550D" w14:textId="4803B9A4" w:rsidR="008E5FEF" w:rsidRDefault="008E5FEF" w:rsidP="008E5FEF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   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371/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(B.O.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24-1-64),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estableció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régimen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incorporación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institutos a que hace referencia la citada ley 13.047, a la enseñanza oficial, se determinó el procedimiento para conferir reconocimiento oficial a la enseñanza impartida en dichos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establecimientos.</w:t>
      </w:r>
    </w:p>
    <w:p w14:paraId="7231A8EA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62A0700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mencionado decreto consta de cinco títulos referidos a I) La incorporación (naturaleza, efectos, otorgamiento, suspensión, caducidad); II) Propietarios de los Institutos; III) De los Institutos (denominación, local y material escolar, secciones, cursos y divisiones, del plantel del personal, de la documentación y el archivo, de las sanciones; IV) Personal del Instituto; V) Alumnos del Instituto.</w:t>
      </w:r>
    </w:p>
    <w:p w14:paraId="455B7DB7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F2B2EA" w14:textId="77777777" w:rsidR="008E5FEF" w:rsidRDefault="008E5FEF" w:rsidP="008E5FE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su vez, en el Capítulo II del Título III, dedicado a "Local y material escolar", se establecen los requisitos que deben poseer los locales de los institutos (art. 43º), los recaudos que deberán verificarse para la habilitación del local y de sus ampliaciones (art. 44º) y la necesidad de requerir una nueva habilitación en caso de instalar un instituto un nuevo local (art.45º).</w:t>
      </w:r>
    </w:p>
    <w:p w14:paraId="36C6A841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E319901" w14:textId="77777777" w:rsidR="008E5FEF" w:rsidRDefault="008E5FEF" w:rsidP="008E5FEF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su parte, el Código de Habilitaciones y Verificaciones de la Municipalidad de la Ciudad de Buenos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establece: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2.1.1.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“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locales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destinados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comerciales,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prestaciones de servicios, industrias, depósitos, espectáculos públicos, establecimientos de sanidad y educación, clubes e instituciones similares que realicen reuniones o espectáculos públicos, están sujetos al presente régimen de habilitación, de acuerdo con las normas que reglamentan los distintos usos” (Digesto Municipal 1978 - Vol.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</w:t>
      </w:r>
    </w:p>
    <w:p w14:paraId="4FC7C1EF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- Pág. D-VI-8).</w:t>
      </w:r>
    </w:p>
    <w:p w14:paraId="3D67D05B" w14:textId="77777777" w:rsidR="008E5FEF" w:rsidRDefault="008E5FEF" w:rsidP="008E5FE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2B1076D" w14:textId="113D1A3A" w:rsidR="008E5FEF" w:rsidRDefault="008E5FEF" w:rsidP="008E5FEF">
      <w:pPr>
        <w:widowControl w:val="0"/>
        <w:tabs>
          <w:tab w:val="left" w:pos="10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 w:rsidRPr="008E5FEF">
        <w:rPr>
          <w:rFonts w:ascii="Trebuchet MS" w:hAnsi="Trebuchet MS" w:cs="Trebuchet MS"/>
          <w:b/>
          <w:spacing w:val="-1"/>
          <w:kern w:val="1"/>
          <w:sz w:val="19"/>
          <w:szCs w:val="19"/>
          <w:lang w:val="es-ES"/>
        </w:rPr>
        <w:t>3)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examen de las disposiciones precedentemente referidas permite extraer las siguientes conclusiones:</w:t>
      </w:r>
    </w:p>
    <w:p w14:paraId="6C76CEAA" w14:textId="77777777" w:rsidR="008E5FEF" w:rsidRDefault="008E5FEF" w:rsidP="008E5FEF">
      <w:pPr>
        <w:widowControl w:val="0"/>
        <w:tabs>
          <w:tab w:val="left" w:pos="334"/>
        </w:tabs>
        <w:autoSpaceDE w:val="0"/>
        <w:autoSpaceDN w:val="0"/>
        <w:adjustRightInd w:val="0"/>
        <w:spacing w:before="90"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reseñadas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apartado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hallan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comprendidas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ámbito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competencia del Ministerio de Educación y de la Municipalidad de la Ciudad de Buenos Aires, respectivamente, conforme lo señalado en apartado 1); por ello por cuanto, si bien el decreto Nº 371/64 contiene prescripciones relativas a las condiciones que deben observar los locales de enseñanza dichas normas no deben entenderse sino como apuntando a los fines específicos del área - educación -, tal como se deduce de su inserción en el contexto normativo de dicho decreto (ver supra ap. 2-b) y conforme la competencia legalmente acordada a que se ha hecho referencia (ver ap.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1-a).</w:t>
      </w:r>
    </w:p>
    <w:p w14:paraId="24E34971" w14:textId="77777777" w:rsidR="008E5FEF" w:rsidRDefault="008E5FEF" w:rsidP="008E5FE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854D4A" w14:textId="77777777" w:rsidR="008E5FEF" w:rsidRDefault="008E5FEF" w:rsidP="008E5FEF">
      <w:pPr>
        <w:widowControl w:val="0"/>
        <w:tabs>
          <w:tab w:val="left" w:pos="1015"/>
        </w:tabs>
        <w:autoSpaceDE w:val="0"/>
        <w:autoSpaceDN w:val="0"/>
        <w:adjustRightInd w:val="0"/>
        <w:spacing w:before="1" w:after="0" w:line="237" w:lineRule="auto"/>
        <w:ind w:left="108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atento lo señalado en el párrafo precedente, de ningún modo el ejercicio de las atribuciones legalmente conferidas al Ministerio de Educación, respecto de los institutos privados incorporados a la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enseñanza oficial, puede implicar la exclusión de la Municipalidad de la Ciudad de Buenos Aires en el ámbito de su competencia específica, fundamentada en lo que es materia del ¨sub examine¨ por las normas reseñadas (ver ap. 1-b 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2-c).</w:t>
      </w:r>
    </w:p>
    <w:p w14:paraId="1AF2F68A" w14:textId="77777777" w:rsidR="008E5FEF" w:rsidRDefault="008E5FEF" w:rsidP="008E5FE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5E8B9C3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sentido,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Procuración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4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Tesoro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sostenido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que: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“No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puede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discutir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derecho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Municipalidad de fijar la línea de edificación y verificar las condiciones de seguridad y salubridad de las construcciones realizadas en su ejido” (Dictámenes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65:147).</w:t>
      </w:r>
    </w:p>
    <w:p w14:paraId="7C2B5F6E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4F1C225" w14:textId="68DA5EA9" w:rsidR="008E5FEF" w:rsidRPr="008E5FEF" w:rsidRDefault="008E5FEF" w:rsidP="008E5FEF">
      <w:pPr>
        <w:widowControl w:val="0"/>
        <w:tabs>
          <w:tab w:val="left" w:pos="1016"/>
        </w:tabs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razones expuestas en los párrafos precedentes, y teniendo en cuenta que ¨...el aspecto que define la aptitud para obrar de un ente jurídico es la relación del acto con los fines para los que fue creado.......¨ (Dictámenes 154:196/202, esp.200), entiendo que no  existe compatibilidad en la actuación de ambas entidades, siendo que las mismas atienden a fines diferentes; se trata así de una acción concurrente derivada de las distintas competencias específicas( ver Dictámenes 121:388:131:522, entre otros).</w:t>
      </w:r>
    </w:p>
    <w:p w14:paraId="29B1EF9E" w14:textId="77777777" w:rsidR="008E5FEF" w:rsidRDefault="008E5FEF" w:rsidP="008E5FE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2A4242A3" w14:textId="77777777" w:rsidR="008E5FEF" w:rsidRDefault="008E5FEF" w:rsidP="008E5FE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sentido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cabe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señalar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¨En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campo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morales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capacidad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delimita de acuerdo a la llamada ¨regla de la especialidad¨, es decir que les está permitido hacer lo no prohibido dentro de los fines de la institución   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Conf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Marienhoff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¨Tratado de Derecho Administrativo¨,  Ed.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Abeledo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Perrot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Buenos Aires, 1970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Pág.. 545; Linares, ¨Poder discrecional administrativo¨, Ed.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Abeledo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Perrot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Buenos Aires, 1958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Pág.. 80 y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Bidart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Campos, ¨Derecho Constitucional del Poder¨, Ed.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Ediar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Buenos Aires, 1967,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p56) ¨ (Dictámenes 15:196/202,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esp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Pág.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199).</w:t>
      </w:r>
    </w:p>
    <w:p w14:paraId="4B033092" w14:textId="77777777" w:rsidR="008E5FEF" w:rsidRDefault="008E5FEF" w:rsidP="008E5FE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6B2435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IV.-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síntesis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expuesto,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entiendo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de la Municipalidad de la Ciudad de Buenos Aires, en lo que es materia de análisis, reviste carácter concurrente, y las funciones de ambos deben desarrollarse armónicamente dentro de un marco de plena colaboración,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proteger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mejor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interés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comunidad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comprometido.</w:t>
      </w:r>
    </w:p>
    <w:p w14:paraId="2D58F6EC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9058444" w14:textId="77777777" w:rsidR="008E5FEF" w:rsidRDefault="008E5FEF" w:rsidP="008E5FEF">
      <w:pPr>
        <w:widowControl w:val="0"/>
        <w:autoSpaceDE w:val="0"/>
        <w:autoSpaceDN w:val="0"/>
        <w:adjustRightInd w:val="0"/>
        <w:spacing w:before="139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CARLOS ALBERTO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VAQUER</w:t>
      </w:r>
    </w:p>
    <w:p w14:paraId="73AFF7F2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Procurador del Tesoro de la</w:t>
      </w:r>
      <w:r>
        <w:rPr>
          <w:rFonts w:ascii="Trebuchet MS" w:hAnsi="Trebuchet MS" w:cs="Trebuchet MS"/>
          <w:spacing w:val="-5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Nación</w:t>
      </w:r>
    </w:p>
    <w:p w14:paraId="40C7F78D" w14:textId="77777777" w:rsidR="008E5FEF" w:rsidRDefault="008E5FEF" w:rsidP="008E5FE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270A0C8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 fs. 44 del citado Expediente obra el dictamen de la Dirección General de Asuntos Jurídicos que expresa:</w:t>
      </w:r>
    </w:p>
    <w:p w14:paraId="45D4FA36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68FD67E" w14:textId="77777777" w:rsidR="008E5FEF" w:rsidRDefault="008E5FEF" w:rsidP="008E5FEF">
      <w:pPr>
        <w:widowControl w:val="0"/>
        <w:autoSpaceDE w:val="0"/>
        <w:autoSpaceDN w:val="0"/>
        <w:adjustRightInd w:val="0"/>
        <w:spacing w:before="182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Señor Ministro:</w:t>
      </w:r>
    </w:p>
    <w:p w14:paraId="27245054" w14:textId="77777777" w:rsidR="008E5FEF" w:rsidRDefault="008E5FEF" w:rsidP="008E5FE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2A74F7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Habiéndose expedido la Procuración del Tesoro de la Nación a Fs. 50/56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refoliado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con fecha 1º de febrero de 1983, estableciendo entre otras consideraciones que ¨ ... de ningún modo el ejercicio de las atribuciones legalmente conferidas al Ministerio de Educación, respecto de los institutos privados incorporados a la enseñanza oficial, puede implicar la exclusión de la Municipalidad de la Ciudad de Buenos Aires en el ámbito de su competencia  específica...¨,  para  finalmente  sintetizar  ¨...  que  la  competencia de ese Ministerio de Educación y de la Municipalidad de la Ciudad de Buenos Aires, en lo que es materia de análisis, reviste carácter concurrente, y las funciones de ambos deben desarrollarse armónicamente dentro de un marco de plena colaboración, a fin de proteger del mejor modo el interés de la comunidad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comprometido¨.</w:t>
      </w:r>
    </w:p>
    <w:p w14:paraId="72D60863" w14:textId="77777777" w:rsidR="008E5FEF" w:rsidRDefault="008E5FEF" w:rsidP="008E5FE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80CA3F2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Consecuentemente con lo expuesto y siendo de seguimiento obligatorio para los organismos de asesoramiento jurídico el criterio sustentado por la Procuración del Tesoro, aconsejó que se haga saber a los</w:t>
      </w:r>
    </w:p>
    <w:p w14:paraId="37FA36A2" w14:textId="77777777" w:rsidR="008E5FEF" w:rsidRDefault="008E5FEF" w:rsidP="008E5FE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50EB5C7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0604D5C" w14:textId="77777777" w:rsidR="008E5FEF" w:rsidRDefault="008E5FEF" w:rsidP="008E5FEF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Institutos actuantes las conclusiones de dicho dictamen y mediante circular de la Superintendencia Nacional de la Enseñanza Privada, a los demás institutos de la Capital Federal, a efectos de que proceden a ajustarse al requerimiento formulado a fs. 1 por el organismo municipal.</w:t>
      </w:r>
    </w:p>
    <w:p w14:paraId="3984B9DC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3DAF514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Dr. ANÍBAL A. BRAGA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MENÉNDEZ</w:t>
      </w:r>
    </w:p>
    <w:p w14:paraId="71F8D708" w14:textId="77777777" w:rsidR="008E5FEF" w:rsidRDefault="008E5FEF" w:rsidP="008E5FEF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Director General de Asuntos</w:t>
      </w:r>
      <w:r>
        <w:rPr>
          <w:rFonts w:ascii="Trebuchet MS" w:hAnsi="Trebuchet MS" w:cs="Trebuchet MS"/>
          <w:spacing w:val="-5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Jurídicos</w:t>
      </w:r>
    </w:p>
    <w:p w14:paraId="4D4C2C85" w14:textId="77777777" w:rsidR="00592F1B" w:rsidRPr="00AC3BA6" w:rsidRDefault="00592F1B" w:rsidP="008E5FE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2290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5F4C6DB7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4E36E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2EA5BC8B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4CB58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773CDF0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38E7C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64B1679A" wp14:editId="04E06DFE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251E"/>
    <w:rsid w:val="001C152D"/>
    <w:rsid w:val="00484AE6"/>
    <w:rsid w:val="005028E3"/>
    <w:rsid w:val="00592F1B"/>
    <w:rsid w:val="006C3040"/>
    <w:rsid w:val="006D1685"/>
    <w:rsid w:val="00784AD5"/>
    <w:rsid w:val="007906D4"/>
    <w:rsid w:val="008E5FEF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B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  <w:style w:type="paragraph" w:styleId="Prrafodelista">
    <w:name w:val="List Paragraph"/>
    <w:basedOn w:val="Normal"/>
    <w:uiPriority w:val="34"/>
    <w:qFormat/>
    <w:rsid w:val="008E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0825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9"/>
      <w:szCs w:val="19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8251E"/>
    <w:rPr>
      <w:rFonts w:ascii="Trebuchet MS" w:eastAsia="Trebuchet MS" w:hAnsi="Trebuchet MS" w:cs="Trebuchet MS"/>
      <w:sz w:val="19"/>
      <w:szCs w:val="19"/>
      <w:lang w:val="es-ES"/>
    </w:rPr>
  </w:style>
  <w:style w:type="paragraph" w:styleId="Prrafodelista">
    <w:name w:val="List Paragraph"/>
    <w:basedOn w:val="Normal"/>
    <w:uiPriority w:val="34"/>
    <w:qFormat/>
    <w:rsid w:val="008E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1900</Words>
  <Characters>10450</Characters>
  <Application>Microsoft Macintosh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2021-06-04T18:59:00Z</dcterms:created>
  <dcterms:modified xsi:type="dcterms:W3CDTF">2021-06-04T18:59:00Z</dcterms:modified>
</cp:coreProperties>
</file>