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8003A" w14:textId="77777777" w:rsidR="009918F7" w:rsidRDefault="009918F7" w:rsidP="009918F7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9FDACED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73DFE3AD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F2E4D0B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E4EA019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LICENCIA DEPORTIVA</w:t>
      </w:r>
    </w:p>
    <w:p w14:paraId="0960B7BA" w14:textId="77777777" w:rsidR="009918F7" w:rsidRDefault="009918F7" w:rsidP="009918F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138C80A4" w14:textId="77777777" w:rsidR="009918F7" w:rsidRDefault="009918F7" w:rsidP="009918F7">
      <w:pPr>
        <w:widowControl w:val="0"/>
        <w:autoSpaceDE w:val="0"/>
        <w:autoSpaceDN w:val="0"/>
        <w:adjustRightInd w:val="0"/>
        <w:spacing w:before="1" w:after="1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LEGISLATURA DE LA CIUDAD AUTÓNOMA DE BUENOS AIRES </w:t>
      </w:r>
    </w:p>
    <w:p w14:paraId="5E750979" w14:textId="102FBF1D" w:rsidR="009918F7" w:rsidRDefault="009918F7" w:rsidP="009918F7">
      <w:pPr>
        <w:widowControl w:val="0"/>
        <w:autoSpaceDE w:val="0"/>
        <w:autoSpaceDN w:val="0"/>
        <w:adjustRightInd w:val="0"/>
        <w:spacing w:before="1" w:after="1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N° 1.999</w:t>
      </w:r>
    </w:p>
    <w:p w14:paraId="4AF95BEB" w14:textId="7684CBBF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52D5A432" wp14:editId="5D3C89F1">
                <wp:extent cx="2687955" cy="180975"/>
                <wp:effectExtent l="0" t="0" r="17145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EBC80" w14:textId="77777777" w:rsidR="009918F7" w:rsidRDefault="009918F7" w:rsidP="009918F7">
                            <w:pPr>
                              <w:spacing w:before="9"/>
                              <w:ind w:left="226"/>
                              <w:rPr>
                                <w:b/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9"/>
                              </w:rPr>
                              <w:t>SUSTITUYE EL ART.</w:t>
                            </w:r>
                            <w:proofErr w:type="gramEnd"/>
                            <w:r>
                              <w:rPr>
                                <w:b/>
                                <w:sz w:val="19"/>
                              </w:rPr>
                              <w:t xml:space="preserve"> 2º DE LA LEY N° 1.186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211.6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" filled="f" strokeweight="1.44pt">
                <v:textbox inset="0,0,0,0">
                  <w:txbxContent>
                    <w:p w14:paraId="14CEBC80" w14:textId="77777777" w:rsidR="009918F7" w:rsidRDefault="009918F7" w:rsidP="009918F7">
                      <w:pPr>
                        <w:spacing w:before="9"/>
                        <w:ind w:left="226"/>
                        <w:rPr>
                          <w:b/>
                          <w:sz w:val="19"/>
                        </w:rPr>
                      </w:pPr>
                      <w:proofErr w:type="gramStart"/>
                      <w:r>
                        <w:rPr>
                          <w:b/>
                          <w:sz w:val="19"/>
                        </w:rPr>
                        <w:t>SUSTITUYE EL ART.</w:t>
                      </w:r>
                      <w:proofErr w:type="gramEnd"/>
                      <w:r>
                        <w:rPr>
                          <w:b/>
                          <w:sz w:val="19"/>
                        </w:rPr>
                        <w:t xml:space="preserve"> 2º DE LA LEY N° 1.186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1EAAFF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B4834F7" w14:textId="77777777" w:rsidR="009918F7" w:rsidRDefault="009918F7" w:rsidP="009918F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sz w:val="7"/>
          <w:szCs w:val="7"/>
          <w:lang w:val="es-ES"/>
        </w:rPr>
      </w:pPr>
    </w:p>
    <w:p w14:paraId="7C24C576" w14:textId="77777777" w:rsidR="009918F7" w:rsidRDefault="009918F7" w:rsidP="009918F7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sz w:val="19"/>
          <w:szCs w:val="19"/>
          <w:lang w:val="es-ES"/>
        </w:rPr>
        <w:t>Buenos Aires, 15 de junio de 2006.</w:t>
      </w:r>
    </w:p>
    <w:p w14:paraId="29B848FD" w14:textId="77777777" w:rsidR="009918F7" w:rsidRDefault="009918F7" w:rsidP="009918F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DD4D4F9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 Legislatura de la Ciudad Autónoma de Buenos Aires sanciona con fuerza de Ley:</w:t>
      </w:r>
    </w:p>
    <w:p w14:paraId="08FB1DBE" w14:textId="77777777" w:rsidR="009918F7" w:rsidRDefault="009918F7" w:rsidP="009918F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24B0A7DD" w14:textId="77777777" w:rsidR="009918F7" w:rsidRDefault="009918F7" w:rsidP="009918F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1° - Sustitúyase el artículo 2º de la Ley N° 1.186 (B.O.C.B.A. Nº 1847 del 29/12/03) que incorpora el 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30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bis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471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(B.O.C.B.A.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1026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13/9/00),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redactado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siguiente manera:</w:t>
      </w:r>
    </w:p>
    <w:p w14:paraId="282498B6" w14:textId="77777777" w:rsidR="009918F7" w:rsidRDefault="009918F7" w:rsidP="009918F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F034647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30 bis: Licencia Deportiva</w:t>
      </w:r>
    </w:p>
    <w:p w14:paraId="7E8A6B87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F4C25A3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 trabajadores de la ciudad que sean deportistas aficionados tienen derecho a una licencia deportiva con goce de haberes para la preparación y/o participación en disciplinas deportivas, siempre que hayan sido designados por las federaciones u organismos regionales, nacionales o internacionales reconocidos de la actividad que practican:</w:t>
      </w:r>
    </w:p>
    <w:p w14:paraId="474CA0FA" w14:textId="77777777" w:rsidR="009918F7" w:rsidRDefault="009918F7" w:rsidP="009918F7">
      <w:pPr>
        <w:widowControl w:val="0"/>
        <w:tabs>
          <w:tab w:val="left" w:pos="331"/>
        </w:tabs>
        <w:autoSpaceDE w:val="0"/>
        <w:autoSpaceDN w:val="0"/>
        <w:adjustRightInd w:val="0"/>
        <w:spacing w:after="0" w:line="220" w:lineRule="exact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intervenir en campeonatos regionales, nacionales o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internacionales.</w:t>
      </w:r>
    </w:p>
    <w:p w14:paraId="61C86A97" w14:textId="77777777" w:rsidR="009918F7" w:rsidRDefault="009918F7" w:rsidP="009918F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0ADFF8A" w14:textId="77777777" w:rsidR="009918F7" w:rsidRDefault="009918F7" w:rsidP="009918F7">
      <w:pPr>
        <w:widowControl w:val="0"/>
        <w:tabs>
          <w:tab w:val="left" w:pos="353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integrar delegaciones que concurran a competencias que figuren en forma regular y habitual en el calendario de las organizaciones regionales, nacionales e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internacionales.</w:t>
      </w:r>
    </w:p>
    <w:p w14:paraId="0E31456D" w14:textId="77777777" w:rsidR="009918F7" w:rsidRDefault="009918F7" w:rsidP="009918F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341167B" w14:textId="77777777" w:rsidR="009918F7" w:rsidRDefault="009918F7" w:rsidP="009918F7">
      <w:pPr>
        <w:widowControl w:val="0"/>
        <w:tabs>
          <w:tab w:val="left" w:pos="331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intervenir en eventos regionales, nacionales o internacionales, en calidad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de:</w:t>
      </w:r>
    </w:p>
    <w:p w14:paraId="430822C8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A2B320B" w14:textId="77777777" w:rsidR="009918F7" w:rsidRDefault="009918F7" w:rsidP="009918F7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35" w:lineRule="auto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Deportista, juez, árbitro o jurado o asistentes de control, cualquiera fuera la denominación que para cada actividad se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utilice.</w:t>
      </w:r>
    </w:p>
    <w:p w14:paraId="562B8C3D" w14:textId="77777777" w:rsidR="009918F7" w:rsidRDefault="009918F7" w:rsidP="009918F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FAFDB7F" w14:textId="77777777" w:rsidR="009918F7" w:rsidRDefault="009918F7" w:rsidP="009918F7">
      <w:pPr>
        <w:widowControl w:val="0"/>
        <w:tabs>
          <w:tab w:val="left" w:pos="1081"/>
        </w:tabs>
        <w:autoSpaceDE w:val="0"/>
        <w:autoSpaceDN w:val="0"/>
        <w:adjustRightInd w:val="0"/>
        <w:spacing w:after="0" w:line="240" w:lineRule="auto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Directores técnicos, entrenadores, preparadores físicos y asistentes, y todos aquellos que necesariamente</w:t>
      </w:r>
      <w:r>
        <w:rPr>
          <w:rFonts w:ascii="Trebuchet MS" w:hAnsi="Trebuchet MS" w:cs="Trebuchet MS"/>
          <w:spacing w:val="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deban</w:t>
      </w:r>
      <w:r>
        <w:rPr>
          <w:rFonts w:ascii="Trebuchet MS" w:hAnsi="Trebuchet MS" w:cs="Trebuchet MS"/>
          <w:spacing w:val="3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cumplir</w:t>
      </w:r>
      <w:r>
        <w:rPr>
          <w:rFonts w:ascii="Trebuchet MS" w:hAnsi="Trebuchet MS" w:cs="Trebuchet MS"/>
          <w:spacing w:val="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funciones</w:t>
      </w:r>
      <w:r>
        <w:rPr>
          <w:rFonts w:ascii="Trebuchet MS" w:hAnsi="Trebuchet MS" w:cs="Trebuchet MS"/>
          <w:spacing w:val="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referidas</w:t>
      </w:r>
      <w:r>
        <w:rPr>
          <w:rFonts w:ascii="Trebuchet MS" w:hAnsi="Trebuchet MS" w:cs="Trebuchet MS"/>
          <w:spacing w:val="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atención</w:t>
      </w:r>
      <w:r>
        <w:rPr>
          <w:rFonts w:ascii="Trebuchet MS" w:hAnsi="Trebuchet MS" w:cs="Trebuchet MS"/>
          <w:spacing w:val="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psicofísica</w:t>
      </w:r>
      <w:r>
        <w:rPr>
          <w:rFonts w:ascii="Trebuchet MS" w:hAnsi="Trebuchet MS" w:cs="Trebuchet MS"/>
          <w:spacing w:val="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3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deportista.</w:t>
      </w:r>
    </w:p>
    <w:p w14:paraId="78848115" w14:textId="77777777" w:rsidR="009918F7" w:rsidRDefault="009918F7" w:rsidP="009918F7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E58FCB1" w14:textId="77777777" w:rsidR="009918F7" w:rsidRDefault="009918F7" w:rsidP="009918F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08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Dirigentes y/o representantes que integren las delegaciones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oficiales.</w:t>
      </w:r>
    </w:p>
    <w:p w14:paraId="06E2C1BC" w14:textId="77777777" w:rsidR="009918F7" w:rsidRDefault="009918F7" w:rsidP="009918F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42EFBF3" w14:textId="558FD961" w:rsidR="009918F7" w:rsidRDefault="009918F7" w:rsidP="009918F7">
      <w:pPr>
        <w:widowControl w:val="0"/>
        <w:tabs>
          <w:tab w:val="left" w:pos="374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4)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participar en congresos, asambleas, reuniones, cursos u otras manifestaciones vinculadas con el deporte aficionado, que se realicen en el país o en el extranjero, ya sea como representantes de las federaciones deportivas reconocidas o como miembros de las organizaciones que las integran. La licencia en los supuestos contemplados en los incisos 3 y 4 es sin goce de haberes cuando las personas comprendidas perciban remuneración u honorario por sus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servicios.</w:t>
      </w:r>
    </w:p>
    <w:p w14:paraId="59846B06" w14:textId="77777777" w:rsidR="009918F7" w:rsidRDefault="009918F7" w:rsidP="009918F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licencia deportiva no podrá extenderse por más de cuarenta y cinco (45) días al año para los mencionados en los incisos a) y b) del punto 3); y en los casos que esté motivada en la participación en competencias o reuniones deportivas para personas con necesidades especiales, el plazo máximo será de sesenta (60) días.</w:t>
      </w:r>
    </w:p>
    <w:p w14:paraId="5B7D693C" w14:textId="4EF790A0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Para los comprendidos en el inciso c) no podrá extenderse por más de treinta (30) días. Para los comp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rendidos en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 punto 4) no podrá extenderse más de cinco (5) días.</w:t>
      </w:r>
    </w:p>
    <w:p w14:paraId="753B1549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Para acceder a la licencia deportiva el solicitante debe tener una antigüedad en el empleo no menor de</w:t>
      </w:r>
      <w:r>
        <w:rPr>
          <w:rFonts w:ascii="Trebuchet MS" w:hAnsi="Trebuchet MS" w:cs="Trebuchet MS"/>
          <w:spacing w:val="3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seis</w:t>
      </w:r>
    </w:p>
    <w:p w14:paraId="76AC8056" w14:textId="77777777" w:rsidR="009918F7" w:rsidRDefault="009918F7" w:rsidP="009918F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(6)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meses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acreditar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siguientes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extremos,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fije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reglamentación: lugar, día y hora en que se realizará el evento deportivo, y medios económicos con que cuenta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afrontar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concurrencia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éste.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deportistas,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además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párrafo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anterior,</w:t>
      </w:r>
    </w:p>
    <w:p w14:paraId="52C455F5" w14:textId="77777777" w:rsidR="009918F7" w:rsidRDefault="009918F7" w:rsidP="009918F7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deben acreditar su carácter de aficionado, adjuntar certificado médico integral psicofísico para competir en la prueba a que se lo destina, y constancia emitida por la federación u organización reconocida regional, nacional o internacional de la disciplina deportiva que corresponda, donde se indique la función, actividad o representación a ejercer.</w:t>
      </w:r>
    </w:p>
    <w:p w14:paraId="51227570" w14:textId="77777777" w:rsidR="009918F7" w:rsidRDefault="009918F7" w:rsidP="009918F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La efectiva concurrencia al evento debe acreditarse fehacientemente mediante los certificados que se fijen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reglamentariamente.</w:t>
      </w:r>
    </w:p>
    <w:p w14:paraId="320036EF" w14:textId="77777777" w:rsidR="009918F7" w:rsidRDefault="009918F7" w:rsidP="009918F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D484238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 - Comuníquese, etc. de Estrada - Bello</w:t>
      </w:r>
    </w:p>
    <w:p w14:paraId="68213E8D" w14:textId="77777777" w:rsidR="009918F7" w:rsidRDefault="009918F7" w:rsidP="009918F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E6989C0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DECRETO N° 933</w:t>
      </w:r>
    </w:p>
    <w:p w14:paraId="11D6857C" w14:textId="77777777" w:rsidR="009918F7" w:rsidRDefault="009918F7" w:rsidP="009918F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DCBADC0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17 de julio de 2006.</w:t>
      </w:r>
    </w:p>
    <w:p w14:paraId="39D5986F" w14:textId="77777777" w:rsidR="009918F7" w:rsidRDefault="009918F7" w:rsidP="009918F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245B390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En uso de las atribuciones conferidas por el art. 102 de la Constitución de la Ciudad Autónoma de Buenos Aires,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promúlgase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la Ley Nº 1.999, sancionada por la Legislatura de la Ciudad Autónoma de Buenos Aires con fecha 15 de junio de 2006.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al Registro; publíquese en el Boletín Oficial de la Ciudad de Buenos Aires; gírese copia a la Secretaría Parlamentaria del citado cuerpo por intermedio de la Dirección General de Coordinación de Asuntos Legislativos y remítase, para su conocimiento y demás efectos, a la Dirección General de Recursos Humanos y a la Subsecretaría de Deportes.</w:t>
      </w:r>
    </w:p>
    <w:p w14:paraId="570681F7" w14:textId="77777777" w:rsidR="009918F7" w:rsidRDefault="009918F7" w:rsidP="009918F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FB4B4BA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2860ECC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BF29009" w14:textId="77777777" w:rsidR="009918F7" w:rsidRDefault="009918F7" w:rsidP="009918F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El presente decreto es refrendado por el señor Ministro de Hacienda. TELERMAN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Nielsen</w:t>
      </w:r>
      <w:proofErr w:type="spellEnd"/>
    </w:p>
    <w:p w14:paraId="30AA3DCA" w14:textId="77777777" w:rsidR="00592F1B" w:rsidRPr="00AC3BA6" w:rsidRDefault="00592F1B" w:rsidP="009918F7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9918F7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3566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2021-06-01T14:02:00Z</dcterms:created>
  <dcterms:modified xsi:type="dcterms:W3CDTF">2021-06-01T14:02:00Z</dcterms:modified>
</cp:coreProperties>
</file>