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36AF3" w14:textId="77777777" w:rsidR="00EC6ABE" w:rsidRDefault="00EC6ABE" w:rsidP="00EC6AB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1EABD20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5664E17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0CE9D8D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9F749C7" w14:textId="77777777" w:rsidR="00EC6ABE" w:rsidRDefault="00EC6ABE" w:rsidP="00EC6ABE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CREACION DEL PROGRAMA DE EDUCACION COMUNITARIA PARA LA SALUD </w:t>
      </w:r>
    </w:p>
    <w:p w14:paraId="017EF1DC" w14:textId="4ED63DF2" w:rsidR="00EC6ABE" w:rsidRDefault="00EC6ABE" w:rsidP="00EC6ABE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 EL AMBITO DE LA CIUDAD AUTONOMA DE BUENOS AIRES</w:t>
      </w:r>
    </w:p>
    <w:p w14:paraId="7E112AE8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73A80A01" w14:textId="77777777" w:rsidR="00EC6ABE" w:rsidRDefault="00EC6ABE" w:rsidP="00EC6AB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>LEGISLATURA DE LA CIUDAD AUTÓNOMA DE BUENOS AIRES</w:t>
      </w:r>
    </w:p>
    <w:p w14:paraId="1094BA2F" w14:textId="77777777" w:rsidR="00EC6ABE" w:rsidRDefault="00EC6ABE" w:rsidP="00EC6ABE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4B74D41" w14:textId="77777777" w:rsidR="00EC6ABE" w:rsidRDefault="00EC6ABE" w:rsidP="00EC6AB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2152</w:t>
      </w:r>
    </w:p>
    <w:p w14:paraId="771B8895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653B164" w14:textId="77777777" w:rsidR="00EC6ABE" w:rsidRDefault="00EC6ABE" w:rsidP="00EC6AB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03C92D83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7E3A885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23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noviembre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</w:t>
      </w:r>
    </w:p>
    <w:p w14:paraId="53C4DD6B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6F2950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Créase el Programa de Educación Comunitaria para la Salud de la Ciudad Autónoma de Buenos Aires orientado a incorporar, en la ejecución de las políticas públicas, prácticas que fomenten el desarrollo de las capacidades y acciones de promoción y prevención en el campo de la salud, en forma continua, comenzando en la niñez para prolongarse, en forma permanente, a lo largo de la vida del individuo, en el marco  de  la  Ley  Nº  33  (B.O.C.B.A.  Nº  490)  y  Ley  Nº  153  Ley  Básica  de  Salud (B.O.C.B.A.  Nº</w:t>
      </w:r>
      <w:r>
        <w:rPr>
          <w:rFonts w:ascii="Trebuchet MS" w:hAnsi="Trebuchet MS" w:cs="Trebuchet MS"/>
          <w:spacing w:val="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1149).</w:t>
      </w:r>
    </w:p>
    <w:p w14:paraId="21F73FAB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5524C7A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Ref. Normativas: Ley 33 de Ciudad de Buenos Aires Ley 153 de Ciudad de Buenos Aires</w:t>
      </w:r>
    </w:p>
    <w:p w14:paraId="614CB77D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282813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A los fines de esta ley se entiende por Educación Comunitaria para la Salud a la serie de métodos, medios y técnicas dirigidos a obtener la amplia y decidida participación de los miembros de la comunidad para actuar en beneficio de su propia salud, la de su familia y la de su colectividad, involucrándose desde la identificación de los problemas y las prioridades hasta la ejecución y evaluación de las actividades y programas que conduzcan a un más alto grado de satisfacción de niveles básicos de bienestar.</w:t>
      </w:r>
    </w:p>
    <w:p w14:paraId="3A964FCC" w14:textId="77777777" w:rsidR="00EC6ABE" w:rsidRDefault="00EC6ABE" w:rsidP="00EC6AB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80185B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La implementación de la presente ley debe garantizar el reconocimiento del derecho a la salud, bien superior del individuo y su comunidad.</w:t>
      </w:r>
    </w:p>
    <w:p w14:paraId="54332D54" w14:textId="77777777" w:rsidR="00EC6ABE" w:rsidRDefault="00EC6ABE" w:rsidP="00EC6AB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A5EDA4A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4º.- Los objetivos del programa son los siguientes:</w:t>
      </w:r>
    </w:p>
    <w:p w14:paraId="33E91C81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0F74F9E" w14:textId="77777777" w:rsidR="00EC6ABE" w:rsidRDefault="00EC6ABE" w:rsidP="00EC6ABE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Fortalecer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conciencia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vecinos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prevención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 con participación de su entorno social y afectivo, fomentando la capacidad de evolución hacia un estado de bienestar, aún en medio de situaciones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adversas.</w:t>
      </w:r>
    </w:p>
    <w:p w14:paraId="7AB61033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5987063" w14:textId="77777777" w:rsidR="00EC6ABE" w:rsidRDefault="00EC6ABE" w:rsidP="00EC6ABE">
      <w:pPr>
        <w:widowControl w:val="0"/>
        <w:tabs>
          <w:tab w:val="left" w:pos="339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Mejorar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aquellos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población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excluidas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económico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social, a través de la recuperación y fortalecimiento de las capacidades de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autocuidado.</w:t>
      </w:r>
    </w:p>
    <w:p w14:paraId="341C432F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4A24E9" w14:textId="77777777" w:rsidR="00EC6ABE" w:rsidRDefault="00EC6ABE" w:rsidP="00EC6ABE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 capacitación continua a los profesionales y técnicos de la salud, líderes barriales, operadores comunitarios y educadores para un mejor desempeño en la estimulación de la educación comunitaria para la salud.</w:t>
      </w:r>
    </w:p>
    <w:p w14:paraId="2676D962" w14:textId="77777777" w:rsidR="00EC6ABE" w:rsidRDefault="00EC6ABE" w:rsidP="00EC6ABE">
      <w:pPr>
        <w:widowControl w:val="0"/>
        <w:tabs>
          <w:tab w:val="left" w:pos="493"/>
        </w:tabs>
        <w:autoSpaceDE w:val="0"/>
        <w:autoSpaceDN w:val="0"/>
        <w:adjustRightInd w:val="0"/>
        <w:spacing w:after="0" w:line="218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Impulsar la participación de los residentes especializados en Educación para la</w:t>
      </w:r>
      <w:r>
        <w:rPr>
          <w:rFonts w:ascii="Trebuchet MS" w:hAnsi="Trebuchet MS" w:cs="Trebuchet MS"/>
          <w:spacing w:val="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Salud.</w:t>
      </w:r>
    </w:p>
    <w:p w14:paraId="59ADF5DF" w14:textId="77777777" w:rsidR="00EC6ABE" w:rsidRDefault="00EC6ABE" w:rsidP="00EC6ABE">
      <w:pPr>
        <w:widowControl w:val="0"/>
        <w:tabs>
          <w:tab w:val="left" w:pos="493"/>
        </w:tabs>
        <w:autoSpaceDE w:val="0"/>
        <w:autoSpaceDN w:val="0"/>
        <w:adjustRightInd w:val="0"/>
        <w:spacing w:after="0" w:line="218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62C908EB" w14:textId="0C1340EA" w:rsidR="00EC6ABE" w:rsidRDefault="00EC6ABE" w:rsidP="00EC6ABE">
      <w:pPr>
        <w:widowControl w:val="0"/>
        <w:tabs>
          <w:tab w:val="left" w:pos="33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Identificar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factores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riesgo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enfermedad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accidentes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zonas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 de 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</w:p>
    <w:p w14:paraId="01BE53F1" w14:textId="77777777" w:rsidR="00EC6ABE" w:rsidRPr="00EC6ABE" w:rsidRDefault="00EC6ABE" w:rsidP="00EC6ABE">
      <w:pPr>
        <w:widowControl w:val="0"/>
        <w:tabs>
          <w:tab w:val="left" w:pos="33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55681874" w14:textId="77777777" w:rsidR="00EC6ABE" w:rsidRDefault="00EC6ABE" w:rsidP="00EC6ABE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Impulsar la coordinación de las distintas áreas del Gobierno de la Ciudad Autónoma de Buenos Aires a efectos de cumplimentar el objeto de la presente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ley.</w:t>
      </w:r>
    </w:p>
    <w:p w14:paraId="157F085D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57092AE" w14:textId="77777777" w:rsidR="00EC6ABE" w:rsidRDefault="00EC6ABE" w:rsidP="00EC6ABE">
      <w:pPr>
        <w:widowControl w:val="0"/>
        <w:tabs>
          <w:tab w:val="left" w:pos="338"/>
        </w:tabs>
        <w:autoSpaceDE w:val="0"/>
        <w:autoSpaceDN w:val="0"/>
        <w:adjustRightInd w:val="0"/>
        <w:spacing w:before="1" w:after="0" w:line="235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Articular acciones con organizaciones sin fines de lucro pertenecientes al ámbito de la salud, educación y derechos humanos 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sociales.</w:t>
      </w:r>
    </w:p>
    <w:p w14:paraId="0AB7EE36" w14:textId="77777777" w:rsidR="00EC6ABE" w:rsidRDefault="00EC6ABE" w:rsidP="00EC6ABE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5º.- La autoridad de aplicación de la presente ley es el Ministerio de Salud, en coordinación con el Ministerio de Educación, el Ministerio de Derechos Humanos y Sociales, el Consejo de Niños, Niñas y Adolescentes y el Consejo de Juventud.</w:t>
      </w:r>
    </w:p>
    <w:p w14:paraId="4D3A4EA8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0E84FFB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6º.- Son funciones de la autoridad de aplicación:</w:t>
      </w:r>
    </w:p>
    <w:p w14:paraId="7B513EED" w14:textId="77777777" w:rsidR="00EC6ABE" w:rsidRDefault="00EC6ABE" w:rsidP="00EC6AB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6E7F5C4" w14:textId="77777777" w:rsidR="00EC6ABE" w:rsidRDefault="00EC6ABE" w:rsidP="00EC6ABE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Proponer estrategias para la implementación del programa creado por esta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ley;</w:t>
      </w:r>
    </w:p>
    <w:p w14:paraId="3BCC6128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B8063D" w14:textId="77777777" w:rsidR="00EC6ABE" w:rsidRDefault="00EC6ABE" w:rsidP="00EC6ABE">
      <w:pPr>
        <w:widowControl w:val="0"/>
        <w:tabs>
          <w:tab w:val="left" w:pos="373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Determinar expresamente para cada comuna y/o zonas sanitarias las vías concretas de introducción y promoción de la educación comunitaria para la salud en todos los establecimientos del subsistema estatal de salud, en espacios institucionales de la salud pública, establecimientos de educación y programas de derechos humanos y sociales, articulando con las organizaciones no gubernamentales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ONGs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) que colaboren en la implementación de las políticas públicas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sociales.</w:t>
      </w:r>
    </w:p>
    <w:p w14:paraId="70D4094E" w14:textId="77777777" w:rsidR="00EC6ABE" w:rsidRDefault="00EC6ABE" w:rsidP="00EC6AB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75E98E" w14:textId="77777777" w:rsidR="00EC6ABE" w:rsidRDefault="00EC6ABE" w:rsidP="00EC6ABE">
      <w:pPr>
        <w:widowControl w:val="0"/>
        <w:tabs>
          <w:tab w:val="left" w:pos="383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Señalar las líneas directrices para la capacitación y actualización especializada de los trabajadores sociales, psicólogos, médicos, educadores y operadores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comunitarios.</w:t>
      </w:r>
    </w:p>
    <w:p w14:paraId="738D9592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AFE998" w14:textId="77777777" w:rsidR="00EC6ABE" w:rsidRDefault="00EC6ABE" w:rsidP="00EC6ABE">
      <w:pPr>
        <w:widowControl w:val="0"/>
        <w:tabs>
          <w:tab w:val="left" w:pos="374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Organizar una red social y de pertenencia conformada por establecimientos educativos, sanitarios, de seguridad social, con participación de la sociedad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civil.</w:t>
      </w:r>
    </w:p>
    <w:p w14:paraId="0CA120E6" w14:textId="77777777" w:rsidR="00EC6ABE" w:rsidRDefault="00EC6ABE" w:rsidP="00EC6AB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C77BF45" w14:textId="77777777" w:rsidR="00EC6ABE" w:rsidRDefault="00EC6ABE" w:rsidP="00EC6ABE">
      <w:pPr>
        <w:widowControl w:val="0"/>
        <w:tabs>
          <w:tab w:val="left" w:pos="335"/>
        </w:tabs>
        <w:autoSpaceDE w:val="0"/>
        <w:autoSpaceDN w:val="0"/>
        <w:adjustRightInd w:val="0"/>
        <w:spacing w:before="1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Desarrollar investigaciones y estudios sobre la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temática.</w:t>
      </w:r>
    </w:p>
    <w:p w14:paraId="38F177E2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52D334C" w14:textId="4A2C45D2" w:rsidR="00EC6ABE" w:rsidRPr="00EC6ABE" w:rsidRDefault="00EC6ABE" w:rsidP="00EC6AB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35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 w:rsidRPr="00EC6ABE">
        <w:rPr>
          <w:rFonts w:ascii="Trebuchet MS" w:hAnsi="Trebuchet MS" w:cs="Trebuchet MS"/>
          <w:kern w:val="1"/>
          <w:sz w:val="19"/>
          <w:szCs w:val="19"/>
          <w:lang w:val="es-ES"/>
        </w:rPr>
        <w:t>Participar en el ámbito nacional e internacional, en especial en el MERCOSUR, para la realización de acciones normativas y de financiamiento conjuntas para programas</w:t>
      </w:r>
      <w:r w:rsidRPr="00EC6ABE"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 w:rsidRPr="00EC6ABE">
        <w:rPr>
          <w:rFonts w:ascii="Trebuchet MS" w:hAnsi="Trebuchet MS" w:cs="Trebuchet MS"/>
          <w:kern w:val="1"/>
          <w:sz w:val="19"/>
          <w:szCs w:val="19"/>
          <w:lang w:val="es-ES"/>
        </w:rPr>
        <w:t>equivalentes.</w:t>
      </w:r>
    </w:p>
    <w:p w14:paraId="5215C319" w14:textId="77777777" w:rsidR="00EC6ABE" w:rsidRDefault="00EC6ABE" w:rsidP="00EC6AB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7EA83C7" w14:textId="77777777" w:rsidR="00EC6ABE" w:rsidRDefault="00EC6ABE" w:rsidP="00EC6ABE">
      <w:pPr>
        <w:widowControl w:val="0"/>
        <w:tabs>
          <w:tab w:val="left" w:pos="362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 un seguimiento sobre los subprogramas, proyectos, trabajos, campañas de difusión y acciones desarrolladas en el marco 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programa.</w:t>
      </w:r>
    </w:p>
    <w:p w14:paraId="6ACE4022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57F4633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7º.- Los programas y subprogramas que se encuentren implementando el Ministerio de Salud, el Ministerio de Educación, el Ministerio de Derechos Humanos y Sociales y el Consejo de Niñas, Niños y Adolescentes que se identifiquen con el objeto de la presente ley y tengan como beneficiarios directos o indirectos a los niños, adolescentes, adultos y adultos mayores quedan incluidos en los alcances de la presente ley y deberán ser readecuados o redimensionados por la autoridad correspondiente al efecto del cumplimiento de esta ley.</w:t>
      </w:r>
    </w:p>
    <w:p w14:paraId="7EB4D117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9C652E4" w14:textId="77777777" w:rsidR="00EC6ABE" w:rsidRDefault="00EC6ABE" w:rsidP="00EC6ABE">
      <w:pPr>
        <w:widowControl w:val="0"/>
        <w:autoSpaceDE w:val="0"/>
        <w:autoSpaceDN w:val="0"/>
        <w:adjustRightInd w:val="0"/>
        <w:spacing w:before="1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8º.- Los gastos que demande la aplicación de la presente se imputarán a la partida presupuestaria correspondiente.</w:t>
      </w:r>
    </w:p>
    <w:p w14:paraId="4866F8A0" w14:textId="77777777" w:rsidR="00EC6ABE" w:rsidRDefault="00EC6ABE" w:rsidP="00EC6AB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15CFF72" w14:textId="77777777" w:rsidR="00EC6ABE" w:rsidRDefault="00EC6ABE" w:rsidP="00EC6AB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9º.- Comuníquese, etc.</w:t>
      </w:r>
    </w:p>
    <w:p w14:paraId="57C092C7" w14:textId="77777777" w:rsidR="00EC6ABE" w:rsidRDefault="00EC6ABE" w:rsidP="00EC6AB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4F6D4425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  <w:bookmarkStart w:id="0" w:name="_GoBack"/>
      <w:bookmarkEnd w:id="0"/>
    </w:p>
    <w:p w14:paraId="2DDC104A" w14:textId="77777777" w:rsidR="00EC6ABE" w:rsidRDefault="00EC6ABE" w:rsidP="00EC6ABE">
      <w:pPr>
        <w:widowControl w:val="0"/>
        <w:autoSpaceDE w:val="0"/>
        <w:autoSpaceDN w:val="0"/>
        <w:adjustRightInd w:val="0"/>
        <w:spacing w:before="178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A: CLAUSULA TRANSITORIA</w:t>
      </w:r>
    </w:p>
    <w:p w14:paraId="6E69C058" w14:textId="77777777" w:rsidR="00EC6ABE" w:rsidRDefault="00EC6ABE" w:rsidP="00EC6ABE">
      <w:pPr>
        <w:widowControl w:val="0"/>
        <w:autoSpaceDE w:val="0"/>
        <w:autoSpaceDN w:val="0"/>
        <w:adjustRightInd w:val="0"/>
        <w:spacing w:before="100" w:after="0" w:line="197" w:lineRule="exact"/>
        <w:ind w:right="-1"/>
        <w:jc w:val="right"/>
        <w:rPr>
          <w:rFonts w:ascii="Trebuchet MS" w:hAnsi="Trebuchet MS" w:cs="Trebuchet MS"/>
          <w:kern w:val="1"/>
          <w:sz w:val="17"/>
          <w:szCs w:val="17"/>
          <w:lang w:val="es-ES"/>
        </w:rPr>
      </w:pPr>
      <w:r>
        <w:rPr>
          <w:rFonts w:ascii="Trebuchet MS" w:hAnsi="Trebuchet MS" w:cs="Trebuchet MS"/>
          <w:kern w:val="1"/>
          <w:sz w:val="17"/>
          <w:szCs w:val="17"/>
          <w:lang w:val="es-ES"/>
        </w:rPr>
        <w:t>SANTIAGO DE</w:t>
      </w:r>
      <w:r>
        <w:rPr>
          <w:rFonts w:ascii="Trebuchet MS" w:hAnsi="Trebuchet MS" w:cs="Trebuchet MS"/>
          <w:spacing w:val="-17"/>
          <w:kern w:val="1"/>
          <w:sz w:val="17"/>
          <w:szCs w:val="17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7"/>
          <w:szCs w:val="17"/>
          <w:lang w:val="es-ES"/>
        </w:rPr>
        <w:t>ESTRADA</w:t>
      </w:r>
    </w:p>
    <w:p w14:paraId="6A04EB86" w14:textId="77777777" w:rsidR="00EC6ABE" w:rsidRDefault="00EC6ABE" w:rsidP="00EC6ABE">
      <w:pPr>
        <w:widowControl w:val="0"/>
        <w:autoSpaceDE w:val="0"/>
        <w:autoSpaceDN w:val="0"/>
        <w:adjustRightInd w:val="0"/>
        <w:spacing w:after="0" w:line="197" w:lineRule="exact"/>
        <w:ind w:right="-1"/>
        <w:jc w:val="right"/>
        <w:rPr>
          <w:rFonts w:ascii="Trebuchet MS" w:hAnsi="Trebuchet MS" w:cs="Trebuchet MS"/>
          <w:kern w:val="1"/>
          <w:sz w:val="17"/>
          <w:szCs w:val="17"/>
          <w:lang w:val="es-ES"/>
        </w:rPr>
      </w:pPr>
      <w:r>
        <w:rPr>
          <w:rFonts w:ascii="Trebuchet MS" w:hAnsi="Trebuchet MS" w:cs="Trebuchet MS"/>
          <w:kern w:val="1"/>
          <w:sz w:val="17"/>
          <w:szCs w:val="17"/>
          <w:lang w:val="es-ES"/>
        </w:rPr>
        <w:t>ALICIA</w:t>
      </w:r>
      <w:r>
        <w:rPr>
          <w:rFonts w:ascii="Trebuchet MS" w:hAnsi="Trebuchet MS" w:cs="Trebuchet MS"/>
          <w:spacing w:val="-14"/>
          <w:kern w:val="1"/>
          <w:sz w:val="17"/>
          <w:szCs w:val="17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7"/>
          <w:szCs w:val="17"/>
          <w:lang w:val="es-ES"/>
        </w:rPr>
        <w:t>BELLO</w:t>
      </w:r>
    </w:p>
    <w:p w14:paraId="59CC61C0" w14:textId="77777777" w:rsidR="00EC6ABE" w:rsidRDefault="00EC6ABE" w:rsidP="00EC6AB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10CED613" w14:textId="77777777" w:rsidR="00EC6ABE" w:rsidRDefault="00EC6ABE" w:rsidP="00EC6ABE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Cláusula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Transitoria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Primera.-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contenidos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comunitaria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 incorporarse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efectores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subsistema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estatal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programas de derechos humanos y sociales en un plazo no mayor de tres (3) años de la entrada en vigencia de la presente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ley.</w:t>
      </w:r>
    </w:p>
    <w:p w14:paraId="30AA3DCA" w14:textId="77777777" w:rsidR="00592F1B" w:rsidRPr="00AC3BA6" w:rsidRDefault="00592F1B" w:rsidP="00EC6AB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EC6ABE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4698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2021-06-01T14:11:00Z</dcterms:created>
  <dcterms:modified xsi:type="dcterms:W3CDTF">2021-06-01T14:11:00Z</dcterms:modified>
</cp:coreProperties>
</file>